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DBC77">
      <w:pPr>
        <w:topLinePunct/>
        <w:autoSpaceDE w:val="0"/>
        <w:autoSpaceDN w:val="0"/>
        <w:jc w:val="center"/>
        <w:rPr>
          <w:rFonts w:hint="eastAsia" w:ascii="宋体" w:hAnsi="宋体" w:eastAsia="宋体" w:cs="宋体"/>
          <w:b/>
          <w:bCs w:val="0"/>
          <w:color w:val="auto"/>
          <w:sz w:val="48"/>
          <w:szCs w:val="48"/>
          <w:highlight w:val="none"/>
        </w:rPr>
      </w:pPr>
    </w:p>
    <w:p w14:paraId="69C68047">
      <w:pPr>
        <w:topLinePunct/>
        <w:autoSpaceDE w:val="0"/>
        <w:autoSpaceDN w:val="0"/>
        <w:jc w:val="center"/>
        <w:rPr>
          <w:rFonts w:hint="eastAsia" w:ascii="宋体" w:hAnsi="宋体" w:eastAsia="宋体" w:cs="宋体"/>
          <w:b/>
          <w:bCs w:val="0"/>
          <w:color w:val="auto"/>
          <w:sz w:val="48"/>
          <w:szCs w:val="48"/>
          <w:highlight w:val="none"/>
        </w:rPr>
      </w:pPr>
    </w:p>
    <w:p w14:paraId="29305F8A">
      <w:pPr>
        <w:topLinePunct/>
        <w:autoSpaceDE w:val="0"/>
        <w:autoSpaceDN w:val="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sz w:val="48"/>
          <w:szCs w:val="48"/>
          <w:highlight w:val="none"/>
          <w:lang w:eastAsia="zh-CN"/>
        </w:rPr>
        <w:t>磋商</w:t>
      </w:r>
      <w:r>
        <w:rPr>
          <w:rFonts w:hint="eastAsia" w:ascii="宋体" w:hAnsi="宋体" w:eastAsia="宋体" w:cs="宋体"/>
          <w:b/>
          <w:bCs w:val="0"/>
          <w:color w:val="auto"/>
          <w:sz w:val="48"/>
          <w:szCs w:val="48"/>
          <w:highlight w:val="none"/>
        </w:rPr>
        <w:t>文件</w:t>
      </w:r>
    </w:p>
    <w:p w14:paraId="4F681D60">
      <w:pPr>
        <w:topLinePunct/>
        <w:autoSpaceDE w:val="0"/>
        <w:autoSpaceDN w:val="0"/>
        <w:spacing w:line="60" w:lineRule="exact"/>
        <w:jc w:val="center"/>
        <w:rPr>
          <w:rFonts w:hint="eastAsia" w:ascii="宋体" w:hAnsi="宋体" w:eastAsia="宋体" w:cs="宋体"/>
          <w:b w:val="0"/>
          <w:bCs/>
          <w:color w:val="auto"/>
          <w:sz w:val="32"/>
          <w:szCs w:val="32"/>
          <w:highlight w:val="none"/>
        </w:rPr>
      </w:pPr>
    </w:p>
    <w:p w14:paraId="29A5CB7F">
      <w:pPr>
        <w:topLinePunct/>
        <w:autoSpaceDE w:val="0"/>
        <w:autoSpaceDN w:val="0"/>
        <w:snapToGrid w:val="0"/>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（商务部分）</w:t>
      </w:r>
    </w:p>
    <w:p w14:paraId="37ED7FEC">
      <w:pPr>
        <w:bidi w:val="0"/>
        <w:rPr>
          <w:rFonts w:hint="eastAsia" w:ascii="宋体" w:hAnsi="宋体" w:eastAsia="宋体" w:cs="宋体"/>
          <w:color w:val="auto"/>
          <w:highlight w:val="none"/>
        </w:rPr>
      </w:pPr>
    </w:p>
    <w:p w14:paraId="01FB44DA">
      <w:pPr>
        <w:bidi w:val="0"/>
        <w:rPr>
          <w:rFonts w:hint="eastAsia" w:ascii="宋体" w:hAnsi="宋体" w:eastAsia="宋体" w:cs="宋体"/>
          <w:color w:val="auto"/>
          <w:highlight w:val="none"/>
        </w:rPr>
      </w:pPr>
    </w:p>
    <w:p w14:paraId="5F2C04C8">
      <w:pPr>
        <w:pStyle w:val="2"/>
        <w:rPr>
          <w:rFonts w:hint="eastAsia" w:ascii="宋体" w:hAnsi="宋体" w:eastAsia="宋体" w:cs="宋体"/>
          <w:color w:val="auto"/>
          <w:highlight w:val="none"/>
        </w:rPr>
      </w:pPr>
    </w:p>
    <w:p w14:paraId="7245B23F">
      <w:pPr>
        <w:rPr>
          <w:rFonts w:hint="eastAsia" w:ascii="宋体" w:hAnsi="宋体" w:eastAsia="宋体" w:cs="宋体"/>
          <w:color w:val="auto"/>
          <w:highlight w:val="none"/>
        </w:rPr>
      </w:pPr>
    </w:p>
    <w:p w14:paraId="35B163C0">
      <w:pPr>
        <w:pStyle w:val="2"/>
        <w:rPr>
          <w:rFonts w:hint="eastAsia" w:ascii="宋体" w:hAnsi="宋体" w:eastAsia="宋体" w:cs="宋体"/>
          <w:color w:val="auto"/>
          <w:highlight w:val="none"/>
        </w:rPr>
      </w:pPr>
    </w:p>
    <w:p w14:paraId="1773DC72">
      <w:pPr>
        <w:pStyle w:val="2"/>
        <w:rPr>
          <w:rFonts w:hint="eastAsia" w:ascii="宋体" w:hAnsi="宋体" w:eastAsia="宋体" w:cs="宋体"/>
          <w:color w:val="auto"/>
          <w:highlight w:val="none"/>
        </w:rPr>
      </w:pPr>
    </w:p>
    <w:p w14:paraId="181B6BF6">
      <w:pPr>
        <w:ind w:left="0" w:leftChars="0" w:firstLine="180" w:firstLineChars="56"/>
        <w:jc w:val="both"/>
        <w:rPr>
          <w:rFonts w:hint="eastAsia" w:ascii="宋体" w:hAnsi="宋体" w:eastAsia="宋体" w:cs="宋体"/>
          <w:b/>
          <w:bCs/>
          <w:color w:val="auto"/>
          <w:sz w:val="32"/>
          <w:szCs w:val="32"/>
          <w:highlight w:val="none"/>
        </w:rPr>
      </w:pPr>
    </w:p>
    <w:p w14:paraId="52CB0F79">
      <w:pPr>
        <w:ind w:left="0" w:leftChars="0" w:firstLine="180" w:firstLineChars="56"/>
        <w:jc w:val="both"/>
        <w:rPr>
          <w:rFonts w:hint="eastAsia" w:ascii="宋体" w:hAnsi="宋体" w:eastAsia="宋体" w:cs="宋体"/>
          <w:b/>
          <w:bCs/>
          <w:color w:val="auto"/>
          <w:sz w:val="32"/>
          <w:szCs w:val="32"/>
          <w:highlight w:val="none"/>
        </w:rPr>
      </w:pPr>
    </w:p>
    <w:p w14:paraId="33BA4A56">
      <w:pPr>
        <w:ind w:left="0" w:leftChars="0" w:firstLine="180" w:firstLineChars="56"/>
        <w:jc w:val="both"/>
        <w:rPr>
          <w:rFonts w:hint="eastAsia" w:ascii="宋体" w:hAnsi="宋体" w:eastAsia="宋体" w:cs="宋体"/>
          <w:b/>
          <w:bCs/>
          <w:color w:val="auto"/>
          <w:sz w:val="32"/>
          <w:szCs w:val="32"/>
          <w:highlight w:val="none"/>
        </w:rPr>
      </w:pPr>
    </w:p>
    <w:p w14:paraId="7C2CED15">
      <w:pPr>
        <w:ind w:left="0" w:leftChars="0" w:firstLine="180" w:firstLineChars="56"/>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lang w:eastAsia="zh-CN"/>
        </w:rPr>
        <w:t>国家税务总局钦州市钦南区税务局食堂食材配送项目</w:t>
      </w:r>
    </w:p>
    <w:p w14:paraId="55BCB571">
      <w:pPr>
        <w:ind w:left="0" w:leftChars="0" w:firstLine="180" w:firstLineChars="56"/>
        <w:jc w:val="both"/>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lang w:eastAsia="zh-CN"/>
        </w:rPr>
        <w:t>ZB2024-413</w:t>
      </w:r>
    </w:p>
    <w:p w14:paraId="7A681A1C">
      <w:pPr>
        <w:ind w:left="0" w:leftChars="0" w:firstLine="161" w:firstLineChars="50"/>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 购 人：</w:t>
      </w:r>
      <w:r>
        <w:rPr>
          <w:rFonts w:hint="eastAsia" w:ascii="宋体" w:hAnsi="宋体" w:eastAsia="宋体" w:cs="宋体"/>
          <w:b/>
          <w:bCs/>
          <w:color w:val="auto"/>
          <w:sz w:val="32"/>
          <w:szCs w:val="32"/>
          <w:highlight w:val="none"/>
          <w:lang w:eastAsia="zh-CN"/>
        </w:rPr>
        <w:t>国家税务总局钦州市钦南区税务局</w:t>
      </w:r>
    </w:p>
    <w:p w14:paraId="676A3456">
      <w:pPr>
        <w:ind w:left="0" w:leftChars="0" w:firstLine="138" w:firstLineChars="43"/>
        <w:jc w:val="both"/>
        <w:rPr>
          <w:rFonts w:hint="eastAsia" w:ascii="宋体" w:hAnsi="宋体" w:eastAsia="宋体" w:cs="宋体"/>
          <w:color w:val="auto"/>
          <w:sz w:val="32"/>
          <w:szCs w:val="32"/>
          <w:highlight w:val="none"/>
          <w:u w:val="none"/>
        </w:rPr>
      </w:pPr>
      <w:r>
        <w:rPr>
          <w:rFonts w:hint="eastAsia" w:ascii="宋体" w:hAnsi="宋体" w:eastAsia="宋体" w:cs="宋体"/>
          <w:b/>
          <w:bCs/>
          <w:color w:val="auto"/>
          <w:sz w:val="32"/>
          <w:szCs w:val="32"/>
          <w:highlight w:val="none"/>
        </w:rPr>
        <w:t>采购代理机构：广西众联工程项目管理有限公司</w:t>
      </w:r>
    </w:p>
    <w:p w14:paraId="6A6E93EB">
      <w:pPr>
        <w:topLinePunct/>
        <w:autoSpaceDE w:val="0"/>
        <w:autoSpaceDN w:val="0"/>
        <w:spacing w:line="460" w:lineRule="exact"/>
        <w:rPr>
          <w:rFonts w:hint="eastAsia" w:ascii="宋体" w:hAnsi="宋体" w:eastAsia="宋体" w:cs="宋体"/>
          <w:b/>
          <w:color w:val="auto"/>
          <w:sz w:val="32"/>
          <w:szCs w:val="32"/>
          <w:highlight w:val="none"/>
        </w:rPr>
      </w:pPr>
    </w:p>
    <w:p w14:paraId="23F4BB51">
      <w:pPr>
        <w:topLinePunct/>
        <w:autoSpaceDE w:val="0"/>
        <w:autoSpaceDN w:val="0"/>
        <w:spacing w:line="460" w:lineRule="exact"/>
        <w:jc w:val="center"/>
        <w:rPr>
          <w:rFonts w:hint="eastAsia" w:ascii="宋体" w:hAnsi="宋体" w:eastAsia="宋体" w:cs="宋体"/>
          <w:color w:val="auto"/>
          <w:sz w:val="32"/>
          <w:szCs w:val="32"/>
          <w:highlight w:val="none"/>
        </w:rPr>
      </w:pPr>
    </w:p>
    <w:p w14:paraId="27419EA1">
      <w:pPr>
        <w:pStyle w:val="6"/>
        <w:numPr>
          <w:ilvl w:val="0"/>
          <w:numId w:val="0"/>
        </w:numPr>
        <w:ind w:leftChars="200"/>
        <w:rPr>
          <w:rFonts w:hint="eastAsia" w:ascii="宋体" w:hAnsi="宋体" w:eastAsia="宋体" w:cs="宋体"/>
          <w:color w:val="auto"/>
          <w:sz w:val="32"/>
          <w:szCs w:val="32"/>
          <w:highlight w:val="none"/>
        </w:rPr>
      </w:pPr>
    </w:p>
    <w:p w14:paraId="01B7EB33">
      <w:pPr>
        <w:pStyle w:val="8"/>
        <w:rPr>
          <w:rFonts w:hint="eastAsia" w:ascii="宋体" w:hAnsi="宋体" w:eastAsia="宋体" w:cs="宋体"/>
          <w:color w:val="auto"/>
          <w:highlight w:val="none"/>
        </w:rPr>
      </w:pPr>
    </w:p>
    <w:p w14:paraId="26213774">
      <w:pPr>
        <w:topLinePunct/>
        <w:autoSpaceDE w:val="0"/>
        <w:autoSpaceDN w:val="0"/>
        <w:spacing w:line="46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国家税务总局钦州市钦南区税务局</w:t>
      </w:r>
    </w:p>
    <w:p w14:paraId="288CE3C5">
      <w:pPr>
        <w:topLinePunct/>
        <w:autoSpaceDE w:val="0"/>
        <w:autoSpaceDN w:val="0"/>
        <w:spacing w:line="160" w:lineRule="exact"/>
        <w:jc w:val="center"/>
        <w:rPr>
          <w:rFonts w:hint="eastAsia" w:ascii="宋体" w:hAnsi="宋体" w:eastAsia="宋体" w:cs="宋体"/>
          <w:b/>
          <w:bCs/>
          <w:color w:val="auto"/>
          <w:sz w:val="32"/>
          <w:szCs w:val="32"/>
          <w:highlight w:val="none"/>
        </w:rPr>
      </w:pPr>
    </w:p>
    <w:p w14:paraId="251C8DDF">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09</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19</w:t>
      </w:r>
      <w:r>
        <w:rPr>
          <w:rFonts w:hint="eastAsia" w:ascii="宋体" w:hAnsi="宋体" w:eastAsia="宋体" w:cs="宋体"/>
          <w:b/>
          <w:bCs/>
          <w:color w:val="auto"/>
          <w:sz w:val="32"/>
          <w:szCs w:val="32"/>
          <w:highlight w:val="none"/>
        </w:rPr>
        <w:t>日</w:t>
      </w:r>
    </w:p>
    <w:p w14:paraId="76D40008">
      <w:pPr>
        <w:rPr>
          <w:rFonts w:hint="eastAsia" w:ascii="宋体" w:hAnsi="宋体" w:eastAsia="宋体" w:cs="宋体"/>
          <w:color w:val="auto"/>
          <w:highlight w:val="none"/>
        </w:rPr>
      </w:pPr>
    </w:p>
    <w:p w14:paraId="3E1FDA54">
      <w:pPr>
        <w:rPr>
          <w:rFonts w:hint="eastAsia" w:ascii="宋体" w:hAnsi="宋体" w:eastAsia="宋体" w:cs="宋体"/>
          <w:color w:val="auto"/>
          <w:highlight w:val="none"/>
        </w:rPr>
      </w:pPr>
    </w:p>
    <w:p w14:paraId="4EA53D2A">
      <w:pPr>
        <w:rPr>
          <w:rFonts w:hint="eastAsia" w:ascii="宋体" w:hAnsi="宋体" w:eastAsia="宋体" w:cs="宋体"/>
          <w:color w:val="auto"/>
          <w:highlight w:val="none"/>
        </w:rPr>
        <w:sectPr>
          <w:footerReference r:id="rId3" w:type="default"/>
          <w:pgSz w:w="11906" w:h="16838"/>
          <w:pgMar w:top="1417" w:right="1418" w:bottom="1417" w:left="1417" w:header="851" w:footer="992" w:gutter="0"/>
          <w:pgNumType w:fmt="decimal"/>
          <w:cols w:space="720" w:num="1"/>
          <w:docGrid w:type="lines" w:linePitch="312" w:charSpace="0"/>
        </w:sectPr>
      </w:pPr>
    </w:p>
    <w:p w14:paraId="2B757A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zh-CN"/>
        </w:rPr>
        <w:t>目  录</w:t>
      </w:r>
      <w:bookmarkStart w:id="46" w:name="_GoBack"/>
      <w:bookmarkEnd w:id="46"/>
    </w:p>
    <w:p w14:paraId="5C2EA25F">
      <w:pPr>
        <w:pStyle w:val="13"/>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_Toc21309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第一章  磋商邀请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878887B">
      <w:pPr>
        <w:pStyle w:val="13"/>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_Toc6063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第二章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_Toc6063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8E1EC31">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_Toc32100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8"/>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_Toc32100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6BDD17A">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_Toc29193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_Toc29193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23AAA61">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_Toc11006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二、</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6E91A4">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_Toc25318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三、响应文件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_Toc25318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6378303">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_Toc23689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四、响应文件递交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_Toc23689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568094B">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_Toc28284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五、磋商与评审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_Toc28284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0C698BA">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_Toc21311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六、成交和合同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_Toc21311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FCB4D7C">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_Toc20370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七、询问和质疑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_Toc20370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7315C24">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_Toc11125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_Toc11125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26F32BF">
      <w:pPr>
        <w:pStyle w:val="13"/>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_Toc29484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第三章  评审方法及标准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_Toc29484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4F70B1C">
      <w:pPr>
        <w:pStyle w:val="13"/>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_Toc24599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第四章  采购合同文本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_Toc24599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399A3DD">
      <w:pPr>
        <w:pStyle w:val="13"/>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_Toc2708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第五章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25555CE">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_Toc16146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一、项目概况</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18D62C6">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_Toc11943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rPr>
        <w:t>二、技术要求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_Toc11943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0CB5781">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_Toc32232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eastAsia="zh-CN"/>
        </w:rPr>
        <w:t>三、商务条款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_Toc32232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DD8EAFB">
      <w:pPr>
        <w:pStyle w:val="14"/>
        <w:tabs>
          <w:tab w:val="right" w:leader="dot" w:pos="9072"/>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_Toc9874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4"/>
          <w:highlight w:val="none"/>
          <w:lang w:val="en-US" w:eastAsia="zh-CN"/>
        </w:rPr>
        <w:t>四、其他事项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_Toc9874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4E12783">
      <w:pPr>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p w14:paraId="4533F73A">
      <w:pPr>
        <w:rPr>
          <w:rFonts w:hint="eastAsia" w:ascii="宋体" w:hAnsi="宋体" w:eastAsia="宋体" w:cs="宋体"/>
          <w:b/>
          <w:color w:val="auto"/>
          <w:sz w:val="44"/>
          <w:szCs w:val="44"/>
          <w:highlight w:val="none"/>
        </w:rPr>
      </w:pPr>
    </w:p>
    <w:p w14:paraId="5A83755A">
      <w:pPr>
        <w:rPr>
          <w:rFonts w:hint="eastAsia" w:ascii="宋体" w:hAnsi="宋体" w:eastAsia="宋体" w:cs="宋体"/>
          <w:color w:val="auto"/>
          <w:highlight w:val="none"/>
        </w:rPr>
      </w:pPr>
    </w:p>
    <w:p w14:paraId="56AA9D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150651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5534A8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33CA9A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428B53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077F65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06FF6B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780FB2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5A6BEE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76A118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8"/>
          <w:szCs w:val="28"/>
          <w:highlight w:val="none"/>
        </w:rPr>
      </w:pPr>
    </w:p>
    <w:p w14:paraId="5C981A2B">
      <w:pPr>
        <w:pStyle w:val="3"/>
        <w:jc w:val="center"/>
        <w:rPr>
          <w:rFonts w:hint="eastAsia" w:ascii="宋体" w:hAnsi="宋体" w:eastAsia="宋体" w:cs="宋体"/>
          <w:color w:val="auto"/>
          <w:sz w:val="30"/>
          <w:szCs w:val="30"/>
          <w:highlight w:val="none"/>
        </w:rPr>
      </w:pPr>
      <w:bookmarkStart w:id="0" w:name="_Toc21309"/>
      <w:r>
        <w:rPr>
          <w:rFonts w:hint="eastAsia" w:ascii="宋体" w:hAnsi="宋体" w:eastAsia="宋体" w:cs="宋体"/>
          <w:color w:val="auto"/>
          <w:sz w:val="30"/>
          <w:szCs w:val="30"/>
          <w:highlight w:val="none"/>
        </w:rPr>
        <w:t>第一章  磋商邀请</w:t>
      </w:r>
      <w:bookmarkEnd w:id="0"/>
    </w:p>
    <w:p w14:paraId="694AC00B">
      <w:pPr>
        <w:pBdr>
          <w:top w:val="single" w:color="auto" w:sz="4" w:space="1"/>
          <w:left w:val="single" w:color="auto" w:sz="4" w:space="4"/>
          <w:bottom w:val="single" w:color="auto" w:sz="4" w:space="1"/>
          <w:right w:val="single" w:color="auto" w:sz="4" w:space="4"/>
        </w:pBd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4895B572">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国家税务总局钦州市钦南区税务局食堂食材配送项目</w:t>
      </w:r>
      <w:r>
        <w:rPr>
          <w:rFonts w:hint="eastAsia" w:ascii="宋体" w:hAnsi="宋体" w:eastAsia="宋体" w:cs="宋体"/>
          <w:color w:val="auto"/>
          <w:sz w:val="21"/>
          <w:szCs w:val="21"/>
          <w:highlight w:val="none"/>
          <w:u w:val="none"/>
        </w:rPr>
        <w:t>采购</w:t>
      </w:r>
      <w:r>
        <w:rPr>
          <w:rFonts w:hint="eastAsia" w:ascii="宋体" w:hAnsi="宋体" w:eastAsia="宋体" w:cs="宋体"/>
          <w:color w:val="auto"/>
          <w:sz w:val="21"/>
          <w:szCs w:val="21"/>
          <w:highlight w:val="none"/>
        </w:rPr>
        <w:t>项目的潜在供应商应在</w:t>
      </w:r>
      <w:r>
        <w:rPr>
          <w:rFonts w:hint="eastAsia" w:ascii="宋体" w:hAnsi="宋体" w:eastAsia="宋体" w:cs="宋体"/>
          <w:color w:val="auto"/>
          <w:szCs w:val="21"/>
          <w:highlight w:val="none"/>
          <w:u w:val="single"/>
        </w:rPr>
        <w:t>广西众联工程项目管理有限公司</w:t>
      </w:r>
      <w:r>
        <w:rPr>
          <w:rFonts w:hint="eastAsia" w:ascii="宋体" w:hAnsi="宋体" w:eastAsia="宋体" w:cs="宋体"/>
          <w:color w:val="auto"/>
          <w:sz w:val="21"/>
          <w:szCs w:val="21"/>
          <w:highlight w:val="none"/>
          <w:u w:val="single"/>
        </w:rPr>
        <w:t>（南宁市江南区白沙大道53号松宇时代14A层）</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文件，并于</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u w:val="single"/>
        </w:rPr>
        <w:t>年</w:t>
      </w:r>
      <w:r>
        <w:rPr>
          <w:rFonts w:hint="eastAsia" w:ascii="宋体" w:hAnsi="宋体" w:eastAsia="宋体" w:cs="宋体"/>
          <w:bCs/>
          <w:color w:val="auto"/>
          <w:sz w:val="21"/>
          <w:szCs w:val="21"/>
          <w:highlight w:val="none"/>
          <w:u w:val="single"/>
          <w:lang w:val="en-US" w:eastAsia="zh-CN"/>
        </w:rPr>
        <w:t>09</w:t>
      </w:r>
      <w:r>
        <w:rPr>
          <w:rFonts w:hint="eastAsia" w:ascii="宋体" w:hAnsi="宋体" w:eastAsia="宋体" w:cs="宋体"/>
          <w:bCs/>
          <w:color w:val="auto"/>
          <w:sz w:val="21"/>
          <w:szCs w:val="21"/>
          <w:highlight w:val="none"/>
          <w:u w:val="single"/>
        </w:rPr>
        <w:t>月</w:t>
      </w:r>
      <w:r>
        <w:rPr>
          <w:rFonts w:hint="eastAsia" w:ascii="宋体"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日</w:t>
      </w:r>
      <w:r>
        <w:rPr>
          <w:rFonts w:hint="eastAsia" w:ascii="宋体" w:hAnsi="宋体" w:cs="宋体"/>
          <w:bCs/>
          <w:color w:val="auto"/>
          <w:sz w:val="21"/>
          <w:szCs w:val="21"/>
          <w:highlight w:val="none"/>
          <w:u w:val="single"/>
          <w:lang w:val="en-US" w:eastAsia="zh-CN"/>
        </w:rPr>
        <w:t>13</w:t>
      </w:r>
      <w:r>
        <w:rPr>
          <w:rFonts w:hint="eastAsia" w:ascii="宋体" w:hAnsi="宋体" w:eastAsia="宋体" w:cs="宋体"/>
          <w:bCs/>
          <w:color w:val="auto"/>
          <w:sz w:val="21"/>
          <w:szCs w:val="21"/>
          <w:highlight w:val="none"/>
          <w:u w:val="single"/>
          <w:lang w:val="en-US" w:eastAsia="zh-CN"/>
        </w:rPr>
        <w:t>时30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（北京时间）前提交响应文件</w:t>
      </w:r>
      <w:r>
        <w:rPr>
          <w:rFonts w:hint="eastAsia" w:ascii="宋体" w:hAnsi="宋体" w:eastAsia="宋体" w:cs="宋体"/>
          <w:color w:val="auto"/>
          <w:sz w:val="21"/>
          <w:szCs w:val="21"/>
          <w:highlight w:val="none"/>
        </w:rPr>
        <w:t>。</w:t>
      </w:r>
    </w:p>
    <w:p w14:paraId="1749D9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2EC2D329">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ZB2024-413</w:t>
      </w:r>
    </w:p>
    <w:p w14:paraId="5ECAC4B0">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国家税务总局钦州市钦南区税务局食堂食材配送项目</w:t>
      </w:r>
    </w:p>
    <w:p w14:paraId="4E611ABD">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采购方式：</w:t>
      </w:r>
      <w:r>
        <w:rPr>
          <w:rFonts w:hint="eastAsia" w:ascii="宋体" w:hAnsi="宋体" w:eastAsia="宋体" w:cs="宋体"/>
          <w:color w:val="auto"/>
          <w:sz w:val="21"/>
          <w:szCs w:val="21"/>
          <w:highlight w:val="none"/>
          <w:lang w:eastAsia="zh-CN"/>
        </w:rPr>
        <w:t>磋商</w:t>
      </w:r>
    </w:p>
    <w:p w14:paraId="2B886EF1">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lang w:eastAsia="zh-CN"/>
        </w:rPr>
        <w:t>陆拾万元整</w:t>
      </w:r>
      <w:r>
        <w:rPr>
          <w:rFonts w:hint="eastAsia" w:ascii="宋体" w:hAnsi="宋体" w:eastAsia="宋体" w:cs="宋体"/>
          <w:color w:val="auto"/>
          <w:kern w:val="2"/>
          <w:sz w:val="21"/>
          <w:szCs w:val="22"/>
          <w:highlight w:val="none"/>
          <w:lang w:val="en-US" w:eastAsia="zh-CN" w:bidi="ar-SA"/>
        </w:rPr>
        <w:t>（¥600000.00）</w:t>
      </w:r>
    </w:p>
    <w:p w14:paraId="1C1C16FA">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lang w:eastAsia="zh-CN"/>
        </w:rPr>
        <w:t>陆拾万元整</w:t>
      </w:r>
      <w:r>
        <w:rPr>
          <w:rFonts w:hint="eastAsia" w:ascii="宋体" w:hAnsi="宋体" w:eastAsia="宋体" w:cs="宋体"/>
          <w:color w:val="auto"/>
          <w:kern w:val="2"/>
          <w:sz w:val="21"/>
          <w:szCs w:val="22"/>
          <w:highlight w:val="none"/>
          <w:lang w:val="en-US" w:eastAsia="zh-CN" w:bidi="ar-SA"/>
        </w:rPr>
        <w:t>（¥600000.00）</w:t>
      </w:r>
    </w:p>
    <w:p w14:paraId="6280BAFD">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采购需求：</w:t>
      </w:r>
      <w:r>
        <w:rPr>
          <w:rFonts w:hint="eastAsia" w:ascii="宋体" w:hAnsi="宋体" w:eastAsia="宋体" w:cs="宋体"/>
          <w:color w:val="auto"/>
          <w:szCs w:val="21"/>
          <w:highlight w:val="none"/>
          <w:lang w:eastAsia="zh-CN"/>
        </w:rPr>
        <w:t>国家税务总局钦州市钦南区税务局食堂食材配送项目</w:t>
      </w:r>
      <w:r>
        <w:rPr>
          <w:rFonts w:hint="eastAsia" w:ascii="宋体" w:hAnsi="宋体" w:eastAsia="宋体" w:cs="宋体"/>
          <w:color w:val="auto"/>
          <w:szCs w:val="21"/>
          <w:highlight w:val="none"/>
        </w:rPr>
        <w:t>1项。如需进一步了解详细内容，详见本项目</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lang w:eastAsia="zh-CN"/>
        </w:rPr>
        <w:t>。</w:t>
      </w:r>
    </w:p>
    <w:p w14:paraId="650BD146">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lang w:val="en-US" w:eastAsia="zh-CN"/>
        </w:rPr>
        <w:t>1年</w:t>
      </w:r>
      <w:r>
        <w:rPr>
          <w:rFonts w:hint="eastAsia" w:ascii="宋体" w:hAnsi="宋体" w:eastAsia="宋体" w:cs="宋体"/>
          <w:color w:val="auto"/>
          <w:kern w:val="2"/>
          <w:sz w:val="21"/>
          <w:szCs w:val="22"/>
          <w:highlight w:val="none"/>
          <w:lang w:val="en-US" w:eastAsia="zh-CN" w:bidi="ar-SA"/>
        </w:rPr>
        <w:t>。</w:t>
      </w:r>
    </w:p>
    <w:p w14:paraId="6FEF48A2">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本项目属于目录外标准下项目。</w:t>
      </w:r>
    </w:p>
    <w:p w14:paraId="0EAE9EA4">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Cs w:val="21"/>
          <w:highlight w:val="none"/>
        </w:rPr>
        <w:t>不</w:t>
      </w:r>
      <w:r>
        <w:rPr>
          <w:rFonts w:hint="eastAsia" w:ascii="宋体" w:hAnsi="宋体" w:eastAsia="宋体" w:cs="宋体"/>
          <w:color w:val="auto"/>
          <w:sz w:val="21"/>
          <w:szCs w:val="21"/>
          <w:highlight w:val="none"/>
        </w:rPr>
        <w:t>接受联合体</w:t>
      </w:r>
    </w:p>
    <w:p w14:paraId="7F1484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14:paraId="43804DCE">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1.本项目由符合国家有关法律法规规定、同时满足本项目资质要求、在中国境内的供应商参加磋商。</w:t>
      </w:r>
    </w:p>
    <w:p w14:paraId="41B73511">
      <w:pPr>
        <w:keepNext w:val="0"/>
        <w:keepLines w:val="0"/>
        <w:pageBreakBefore w:val="0"/>
        <w:widowControl/>
        <w:numPr>
          <w:ilvl w:val="-1"/>
          <w:numId w:val="0"/>
        </w:numPr>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14:paraId="6B18627C">
      <w:pPr>
        <w:keepNext w:val="0"/>
        <w:keepLines w:val="0"/>
        <w:pageBreakBefore w:val="0"/>
        <w:widowControl/>
        <w:numPr>
          <w:ilvl w:val="-1"/>
          <w:numId w:val="0"/>
        </w:numPr>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Cs w:val="21"/>
          <w:highlight w:val="none"/>
        </w:rPr>
        <w:t>本项目属于专门面向中小企业采购的项目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供应商应为符合《政府采购促进中小企业发展管理办法》（财库﹝2020﹞46号）、《关于政府采购支持监狱企业发展有关问题的通知》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财库〔2014〕68号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、《关于促进残疾人就业政府采购政策的通知》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财库〔2017〕141号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等规定的条件的中小微企业、或监狱企业、或残疾人福利性单位。</w:t>
      </w:r>
      <w:r>
        <w:rPr>
          <w:rFonts w:hint="eastAsia" w:ascii="宋体" w:hAnsi="宋体" w:eastAsia="宋体" w:cs="宋体"/>
          <w:color w:val="auto"/>
          <w:szCs w:val="21"/>
          <w:highlight w:val="none"/>
          <w:u w:val="none"/>
        </w:rPr>
        <w:t>即在本采购项目中（服务类），服务由中小企业承接（提供服务的人员为中小企业依照《中华人民共和国劳动合同法》订立劳动合同的从业人员）。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r>
        <w:rPr>
          <w:rFonts w:hint="eastAsia" w:ascii="宋体" w:hAnsi="宋体" w:eastAsia="宋体" w:cs="宋体"/>
          <w:color w:val="auto"/>
          <w:szCs w:val="21"/>
          <w:highlight w:val="none"/>
        </w:rPr>
        <w:t>本项目采购</w:t>
      </w:r>
      <w:r>
        <w:rPr>
          <w:rFonts w:hint="eastAsia" w:ascii="宋体" w:hAnsi="宋体" w:eastAsia="宋体" w:cs="宋体"/>
          <w:color w:val="auto"/>
          <w:sz w:val="21"/>
          <w:szCs w:val="21"/>
          <w:highlight w:val="none"/>
        </w:rPr>
        <w:t>标的对应的中小企业划分标准所属行业为</w:t>
      </w:r>
      <w:r>
        <w:rPr>
          <w:rFonts w:hint="eastAsia" w:ascii="宋体" w:hAnsi="宋体" w:eastAsia="宋体" w:cs="宋体"/>
          <w:color w:val="auto"/>
          <w:sz w:val="21"/>
          <w:szCs w:val="21"/>
          <w:highlight w:val="none"/>
          <w:lang w:val="en-US" w:eastAsia="zh-CN"/>
        </w:rPr>
        <w:t>批发业</w:t>
      </w:r>
      <w:r>
        <w:rPr>
          <w:rFonts w:hint="eastAsia" w:ascii="宋体" w:hAnsi="宋体" w:eastAsia="宋体" w:cs="宋体"/>
          <w:color w:val="auto"/>
          <w:sz w:val="21"/>
          <w:szCs w:val="21"/>
          <w:highlight w:val="none"/>
        </w:rPr>
        <w:t>。</w:t>
      </w:r>
    </w:p>
    <w:p w14:paraId="68BEEAA9">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具有有效的《食品经营许可证》。</w:t>
      </w:r>
    </w:p>
    <w:p w14:paraId="64637D8B">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对在“信用中国”网站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rPr>
        <w:t>采购活动。</w:t>
      </w:r>
    </w:p>
    <w:p w14:paraId="29923D44">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6.单</w:t>
      </w:r>
      <w:r>
        <w:rPr>
          <w:rFonts w:hint="eastAsia" w:ascii="宋体" w:hAnsi="宋体" w:eastAsia="宋体" w:cs="宋体"/>
          <w:color w:val="auto"/>
          <w:sz w:val="21"/>
          <w:szCs w:val="21"/>
          <w:highlight w:val="none"/>
        </w:rPr>
        <w:t>位负责人为同一人或者存在直接控股、管理关系的不同供应商，不得参加同一合同项下的采购活动。</w:t>
      </w:r>
    </w:p>
    <w:p w14:paraId="353ADA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为本项目提供整体设计、规范编制或者项目管理、监理、检测等服务的供应商，不得再参加本次采购活动。</w:t>
      </w:r>
    </w:p>
    <w:p w14:paraId="020AE0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磋商</w:t>
      </w:r>
      <w:r>
        <w:rPr>
          <w:rFonts w:hint="eastAsia" w:ascii="宋体" w:hAnsi="宋体" w:eastAsia="宋体" w:cs="宋体"/>
          <w:b/>
          <w:bCs/>
          <w:color w:val="auto"/>
          <w:sz w:val="21"/>
          <w:szCs w:val="21"/>
          <w:highlight w:val="none"/>
        </w:rPr>
        <w:t>文件</w:t>
      </w:r>
    </w:p>
    <w:p w14:paraId="138C4862">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日公告发布之时起至202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26</w:t>
      </w:r>
      <w:r>
        <w:rPr>
          <w:rFonts w:hint="eastAsia" w:ascii="宋体" w:hAnsi="宋体" w:eastAsia="宋体" w:cs="宋体"/>
          <w:color w:val="auto"/>
          <w:sz w:val="21"/>
          <w:szCs w:val="21"/>
          <w:highlight w:val="none"/>
          <w:u w:val="single"/>
        </w:rPr>
        <w:t>日止</w:t>
      </w:r>
      <w:r>
        <w:rPr>
          <w:rFonts w:hint="eastAsia" w:ascii="宋体" w:hAnsi="宋体" w:eastAsia="宋体" w:cs="宋体"/>
          <w:iCs/>
          <w:color w:val="auto"/>
          <w:sz w:val="21"/>
          <w:szCs w:val="21"/>
          <w:highlight w:val="none"/>
          <w:u w:val="single"/>
        </w:rPr>
        <w:t>（</w:t>
      </w:r>
      <w:r>
        <w:rPr>
          <w:rFonts w:hint="eastAsia" w:ascii="宋体" w:hAnsi="宋体" w:eastAsia="宋体" w:cs="宋体"/>
          <w:i/>
          <w:color w:val="auto"/>
          <w:sz w:val="21"/>
          <w:szCs w:val="21"/>
          <w:highlight w:val="none"/>
          <w:u w:val="single"/>
        </w:rPr>
        <w:t>磋商文件的发售期限自开始之日起不得少于5个工作日</w:t>
      </w:r>
      <w:r>
        <w:rPr>
          <w:rFonts w:hint="eastAsia" w:ascii="宋体" w:hAnsi="宋体" w:eastAsia="宋体" w:cs="宋体"/>
          <w:iCs/>
          <w:color w:val="auto"/>
          <w:sz w:val="21"/>
          <w:szCs w:val="21"/>
          <w:highlight w:val="none"/>
          <w:u w:val="single"/>
        </w:rPr>
        <w:t>）</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工作日</w:t>
      </w:r>
      <w:r>
        <w:rPr>
          <w:rFonts w:hint="eastAsia" w:ascii="宋体" w:hAnsi="宋体" w:eastAsia="宋体" w:cs="宋体"/>
          <w:color w:val="auto"/>
          <w:szCs w:val="21"/>
          <w:highlight w:val="none"/>
          <w:lang w:eastAsia="zh-CN"/>
        </w:rPr>
        <w:t>每天</w:t>
      </w:r>
      <w:r>
        <w:rPr>
          <w:rFonts w:hint="eastAsia" w:ascii="宋体" w:hAnsi="宋体" w:eastAsia="宋体" w:cs="宋体"/>
          <w:color w:val="auto"/>
          <w:szCs w:val="21"/>
          <w:highlight w:val="none"/>
        </w:rPr>
        <w:t>上午8时30分至12时00分，下午14时30分至17时30分</w:t>
      </w:r>
      <w:r>
        <w:rPr>
          <w:rFonts w:hint="eastAsia" w:ascii="宋体" w:hAnsi="宋体" w:eastAsia="宋体" w:cs="宋体"/>
          <w:color w:val="auto"/>
          <w:sz w:val="21"/>
          <w:szCs w:val="21"/>
          <w:highlight w:val="none"/>
        </w:rPr>
        <w:t>（北京时间，法定节假日除外）</w:t>
      </w:r>
      <w:r>
        <w:rPr>
          <w:rFonts w:hint="eastAsia" w:ascii="宋体" w:hAnsi="宋体" w:eastAsia="宋体" w:cs="宋体"/>
          <w:color w:val="auto"/>
          <w:sz w:val="21"/>
          <w:szCs w:val="21"/>
          <w:highlight w:val="none"/>
          <w:lang w:eastAsia="zh-CN"/>
        </w:rPr>
        <w:t>。</w:t>
      </w:r>
    </w:p>
    <w:p w14:paraId="75A30A4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Cs w:val="21"/>
          <w:highlight w:val="none"/>
        </w:rPr>
        <w:t>广西众联工程项目管理有限公司财务部（南宁市江南区白沙大道53号松宇时代14A层）。</w:t>
      </w:r>
    </w:p>
    <w:p w14:paraId="1F813463">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方式</w:t>
      </w:r>
      <w:r>
        <w:rPr>
          <w:rFonts w:hint="eastAsia" w:ascii="宋体" w:hAnsi="宋体" w:eastAsia="宋体" w:cs="宋体"/>
          <w:color w:val="auto"/>
          <w:szCs w:val="21"/>
          <w:highlight w:val="none"/>
        </w:rPr>
        <w:t>（可以采用以下方式之一获取</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①现场购买：供应商无需携带报名资料，到广西众联工程项目管理有限公司财务部获取</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文件，付款方式只接受现金付款或者微信付款、支付宝付款，不接受银行卡刷卡支付。②电子邮件方式：</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供应商需于</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文件获取时间内将文件工本费（只接受公对公转账，不接受私人账号转账，并备注项目编号）</w:t>
      </w:r>
      <w:r>
        <w:rPr>
          <w:rFonts w:hint="eastAsia" w:ascii="宋体" w:hAnsi="宋体" w:eastAsia="宋体" w:cs="宋体"/>
          <w:color w:val="auto"/>
          <w:szCs w:val="21"/>
          <w:highlight w:val="none"/>
          <w:lang w:eastAsia="zh-CN"/>
        </w:rPr>
        <w:t>转账</w:t>
      </w:r>
      <w:r>
        <w:rPr>
          <w:rFonts w:hint="eastAsia" w:ascii="宋体" w:hAnsi="宋体" w:eastAsia="宋体" w:cs="宋体"/>
          <w:color w:val="auto"/>
          <w:szCs w:val="21"/>
          <w:highlight w:val="none"/>
        </w:rPr>
        <w:t>底单（并附上项目名称、项目编号、收件人姓名、联系电话、收件地址、开票信息）扫描发邮件至</w:t>
      </w:r>
      <w:r>
        <w:rPr>
          <w:rFonts w:hint="eastAsia" w:ascii="宋体" w:hAnsi="宋体" w:eastAsia="宋体" w:cs="宋体"/>
          <w:color w:val="auto"/>
          <w:szCs w:val="21"/>
          <w:highlight w:val="none"/>
          <w:lang w:val="en-US" w:eastAsia="zh-CN"/>
        </w:rPr>
        <w:t>258838465</w:t>
      </w:r>
      <w:r>
        <w:rPr>
          <w:rFonts w:hint="eastAsia" w:ascii="宋体" w:hAnsi="宋体" w:eastAsia="宋体" w:cs="宋体"/>
          <w:color w:val="auto"/>
          <w:szCs w:val="21"/>
          <w:highlight w:val="none"/>
        </w:rPr>
        <w:t>@qq.com邮箱，代理机构查收后当日向供应商发送</w:t>
      </w:r>
      <w:r>
        <w:rPr>
          <w:rFonts w:hint="eastAsia" w:ascii="宋体" w:hAnsi="宋体" w:eastAsia="宋体" w:cs="宋体"/>
          <w:color w:val="auto"/>
          <w:szCs w:val="21"/>
          <w:highlight w:val="none"/>
          <w:lang w:eastAsia="zh-CN"/>
        </w:rPr>
        <w:t>获取文件登记表</w:t>
      </w:r>
      <w:r>
        <w:rPr>
          <w:rFonts w:hint="eastAsia" w:ascii="宋体" w:hAnsi="宋体" w:eastAsia="宋体" w:cs="宋体"/>
          <w:color w:val="auto"/>
          <w:szCs w:val="21"/>
          <w:highlight w:val="none"/>
        </w:rPr>
        <w:t>及电子版</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文件并办理纸质版</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文件邮寄（邮费到付）事宜</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（供应商未提供联系方式，</w:t>
      </w:r>
      <w:r>
        <w:rPr>
          <w:rFonts w:hint="eastAsia" w:ascii="宋体" w:hAnsi="宋体" w:eastAsia="宋体" w:cs="宋体"/>
          <w:color w:val="auto"/>
          <w:szCs w:val="21"/>
          <w:highlight w:val="none"/>
          <w:lang w:eastAsia="zh-CN"/>
        </w:rPr>
        <w:t>由此</w:t>
      </w:r>
      <w:r>
        <w:rPr>
          <w:rFonts w:hint="eastAsia" w:ascii="宋体" w:hAnsi="宋体" w:eastAsia="宋体" w:cs="宋体"/>
          <w:color w:val="auto"/>
          <w:szCs w:val="21"/>
          <w:highlight w:val="none"/>
        </w:rPr>
        <w:t>造成供应商无法按时获取纸质版</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文件的，责任由供应商承担）。</w:t>
      </w:r>
    </w:p>
    <w:p w14:paraId="54E029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收款人户名：广西众联工程项目管理有限公司</w:t>
      </w:r>
    </w:p>
    <w:p w14:paraId="1F8F28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开户银行：中国光大银行股份有限公司南宁民主支行</w:t>
      </w:r>
    </w:p>
    <w:p w14:paraId="080C329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Cs w:val="21"/>
          <w:highlight w:val="none"/>
        </w:rPr>
        <w:t>银行账号：78900188000167866</w:t>
      </w:r>
    </w:p>
    <w:p w14:paraId="5C17897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售价：</w:t>
      </w:r>
      <w:r>
        <w:rPr>
          <w:rFonts w:hint="eastAsia" w:ascii="宋体" w:hAnsi="宋体" w:eastAsia="宋体" w:cs="宋体"/>
          <w:color w:val="auto"/>
          <w:szCs w:val="21"/>
          <w:highlight w:val="none"/>
        </w:rPr>
        <w:t>¥300.00元，本公告包含的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文件售价总和。</w:t>
      </w:r>
    </w:p>
    <w:p w14:paraId="45F7B5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四、响应文件提交</w:t>
      </w:r>
    </w:p>
    <w:p w14:paraId="5639386A">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sz w:val="21"/>
          <w:szCs w:val="21"/>
          <w:highlight w:val="none"/>
          <w:u w:val="none"/>
        </w:rPr>
      </w:pPr>
      <w:r>
        <w:rPr>
          <w:rFonts w:hint="eastAsia" w:ascii="宋体" w:hAnsi="宋体" w:eastAsia="宋体" w:cs="宋体"/>
          <w:color w:val="auto"/>
          <w:sz w:val="21"/>
          <w:szCs w:val="21"/>
          <w:highlight w:val="none"/>
        </w:rPr>
        <w:t>截止时间：202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r>
        <w:rPr>
          <w:rFonts w:hint="eastAsia" w:ascii="宋体" w:hAnsi="宋体" w:eastAsia="宋体" w:cs="宋体"/>
          <w:iCs/>
          <w:color w:val="auto"/>
          <w:sz w:val="21"/>
          <w:szCs w:val="21"/>
          <w:highlight w:val="none"/>
          <w:u w:val="none"/>
        </w:rPr>
        <w:t>（</w:t>
      </w:r>
      <w:r>
        <w:rPr>
          <w:rFonts w:hint="eastAsia" w:ascii="宋体" w:hAnsi="宋体" w:eastAsia="宋体" w:cs="宋体"/>
          <w:i/>
          <w:color w:val="auto"/>
          <w:sz w:val="21"/>
          <w:szCs w:val="21"/>
          <w:highlight w:val="none"/>
          <w:u w:val="none"/>
        </w:rPr>
        <w:t>从磋商文件开始发出之日起至供应商提交首次响应文件截止之日止不得少于10日</w:t>
      </w:r>
      <w:r>
        <w:rPr>
          <w:rFonts w:hint="eastAsia" w:ascii="宋体" w:hAnsi="宋体" w:eastAsia="宋体" w:cs="宋体"/>
          <w:iCs/>
          <w:color w:val="auto"/>
          <w:sz w:val="21"/>
          <w:szCs w:val="21"/>
          <w:highlight w:val="none"/>
          <w:u w:val="none"/>
        </w:rPr>
        <w:t>）</w:t>
      </w:r>
    </w:p>
    <w:p w14:paraId="38E777AB">
      <w:pPr>
        <w:spacing w:line="5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地点：广西众联工程项目管理有限公司</w:t>
      </w:r>
      <w:r>
        <w:rPr>
          <w:rFonts w:hint="eastAsia" w:ascii="宋体" w:hAnsi="宋体" w:eastAsia="宋体" w:cs="宋体"/>
          <w:color w:val="auto"/>
          <w:sz w:val="21"/>
          <w:szCs w:val="21"/>
          <w:highlight w:val="none"/>
          <w:lang w:eastAsia="zh-CN"/>
        </w:rPr>
        <w:t>钦州分公司</w:t>
      </w:r>
      <w:r>
        <w:rPr>
          <w:rFonts w:hint="eastAsia" w:ascii="宋体" w:hAnsi="宋体" w:eastAsia="宋体" w:cs="宋体"/>
          <w:color w:val="auto"/>
          <w:sz w:val="21"/>
          <w:szCs w:val="21"/>
          <w:highlight w:val="none"/>
        </w:rPr>
        <w:t>开标厅（</w:t>
      </w:r>
      <w:r>
        <w:rPr>
          <w:rFonts w:hint="eastAsia" w:ascii="宋体" w:hAnsi="宋体" w:eastAsia="宋体" w:cs="宋体"/>
          <w:color w:val="auto"/>
          <w:sz w:val="21"/>
          <w:szCs w:val="21"/>
          <w:highlight w:val="none"/>
          <w:lang w:eastAsia="zh-CN"/>
        </w:rPr>
        <w:t>钦州市钦北区下勒路大岭村安置小区40号大众牛杂后面</w:t>
      </w:r>
      <w:r>
        <w:rPr>
          <w:rFonts w:hint="eastAsia" w:ascii="宋体" w:hAnsi="宋体" w:eastAsia="宋体" w:cs="宋体"/>
          <w:color w:val="auto"/>
          <w:sz w:val="21"/>
          <w:szCs w:val="21"/>
          <w:highlight w:val="none"/>
        </w:rPr>
        <w:t>）</w:t>
      </w:r>
    </w:p>
    <w:p w14:paraId="58CAFF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2BDDAE5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eastAsia="zh-CN"/>
        </w:rPr>
        <w:t>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p w14:paraId="43161A5D">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地点：广西众联工程项目管理有限公司</w:t>
      </w:r>
      <w:r>
        <w:rPr>
          <w:rFonts w:hint="eastAsia" w:ascii="宋体" w:hAnsi="宋体" w:eastAsia="宋体" w:cs="宋体"/>
          <w:color w:val="auto"/>
          <w:sz w:val="21"/>
          <w:szCs w:val="21"/>
          <w:highlight w:val="none"/>
          <w:lang w:eastAsia="zh-CN"/>
        </w:rPr>
        <w:t>钦州分公司</w:t>
      </w:r>
      <w:r>
        <w:rPr>
          <w:rFonts w:hint="eastAsia" w:ascii="宋体" w:hAnsi="宋体" w:eastAsia="宋体" w:cs="宋体"/>
          <w:color w:val="auto"/>
          <w:sz w:val="21"/>
          <w:szCs w:val="21"/>
          <w:highlight w:val="none"/>
        </w:rPr>
        <w:t>开标厅（</w:t>
      </w:r>
      <w:r>
        <w:rPr>
          <w:rFonts w:hint="eastAsia" w:ascii="宋体" w:hAnsi="宋体" w:eastAsia="宋体" w:cs="宋体"/>
          <w:color w:val="auto"/>
          <w:sz w:val="21"/>
          <w:szCs w:val="21"/>
          <w:highlight w:val="none"/>
          <w:lang w:eastAsia="zh-CN"/>
        </w:rPr>
        <w:t>钦州市钦北区下勒路大岭村安置小区40号大众牛杂后面</w:t>
      </w:r>
      <w:r>
        <w:rPr>
          <w:rFonts w:hint="eastAsia" w:ascii="宋体" w:hAnsi="宋体" w:eastAsia="宋体" w:cs="宋体"/>
          <w:color w:val="auto"/>
          <w:sz w:val="21"/>
          <w:szCs w:val="21"/>
          <w:highlight w:val="none"/>
        </w:rPr>
        <w:t>）</w:t>
      </w:r>
    </w:p>
    <w:p w14:paraId="553BE1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六、公告期限</w:t>
      </w:r>
    </w:p>
    <w:p w14:paraId="577BED50">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7FDA35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七、其他补充事宜</w:t>
      </w:r>
    </w:p>
    <w:p w14:paraId="381B9C61">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1、磋商时间及地点：于202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09</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0分截标后为磋商小组与供应商磋商时间，具体时间由采购代理机构另行通知。地点：</w:t>
      </w:r>
      <w:r>
        <w:rPr>
          <w:rFonts w:hint="eastAsia" w:ascii="宋体" w:hAnsi="宋体" w:eastAsia="宋体" w:cs="宋体"/>
          <w:color w:val="auto"/>
          <w:szCs w:val="21"/>
          <w:highlight w:val="none"/>
          <w:lang w:eastAsia="zh-CN"/>
        </w:rPr>
        <w:t>广西众联工程项目管理有限公司钦州分公司</w:t>
      </w:r>
      <w:r>
        <w:rPr>
          <w:rFonts w:hint="eastAsia" w:ascii="宋体" w:hAnsi="宋体" w:eastAsia="宋体" w:cs="宋体"/>
          <w:color w:val="auto"/>
          <w:szCs w:val="21"/>
          <w:highlight w:val="none"/>
        </w:rPr>
        <w:t>评标室（以具体通知为准），参加磋商的法定代表人（负责人） 或委托代理人必须持有效证件[法定代表人（负责人）凭身份证或委托代理人凭法人授权委托书原件和身份证]依时达到指定地点等候当面磋商。</w:t>
      </w:r>
    </w:p>
    <w:p w14:paraId="23DA2427">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2、公告媒体：</w:t>
      </w:r>
      <w:r>
        <w:rPr>
          <w:rFonts w:hint="eastAsia" w:ascii="宋体" w:hAnsi="宋体" w:eastAsia="宋体" w:cs="宋体"/>
          <w:color w:val="auto"/>
          <w:szCs w:val="21"/>
          <w:highlight w:val="none"/>
          <w:lang w:eastAsia="zh-CN"/>
        </w:rPr>
        <w:t>国家税务总局广西壮族自治区税务局网站钦州频道</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https://guangxi.chinatax.gov.cn/qinzhou/</w:t>
      </w:r>
      <w:r>
        <w:rPr>
          <w:rFonts w:hint="eastAsia" w:ascii="宋体" w:hAnsi="宋体" w:eastAsia="宋体" w:cs="宋体"/>
          <w:color w:val="auto"/>
          <w:szCs w:val="21"/>
          <w:highlight w:val="none"/>
        </w:rPr>
        <w:t>）、广西众联工程项目管理有限公司网站（</w:t>
      </w:r>
      <w:r>
        <w:rPr>
          <w:rFonts w:hint="eastAsia" w:ascii="宋体" w:hAnsi="宋体" w:eastAsia="宋体" w:cs="宋体"/>
          <w:color w:val="auto"/>
          <w:szCs w:val="21"/>
          <w:highlight w:val="none"/>
          <w:lang w:eastAsia="zh-CN"/>
        </w:rPr>
        <w:t>http://www.gxzhonglian.cn/default.aspx</w:t>
      </w:r>
      <w:r>
        <w:rPr>
          <w:rFonts w:hint="eastAsia" w:ascii="宋体" w:hAnsi="宋体" w:eastAsia="宋体" w:cs="宋体"/>
          <w:color w:val="auto"/>
          <w:szCs w:val="21"/>
          <w:highlight w:val="none"/>
        </w:rPr>
        <w:t>）。</w:t>
      </w:r>
    </w:p>
    <w:p w14:paraId="17AB0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八、凡对本次采购提出询问，请按以下方式联系。</w:t>
      </w:r>
    </w:p>
    <w:p w14:paraId="50B824BE">
      <w:pPr>
        <w:keepNext/>
        <w:keepLines/>
        <w:pageBreakBefore w:val="0"/>
        <w:widowControl w:val="0"/>
        <w:kinsoku/>
        <w:wordWrap/>
        <w:overflowPunct/>
        <w:topLinePunct w:val="0"/>
        <w:autoSpaceDE/>
        <w:autoSpaceDN/>
        <w:bidi w:val="0"/>
        <w:adjustRightInd/>
        <w:snapToGrid/>
        <w:spacing w:line="400" w:lineRule="exact"/>
        <w:ind w:firstLine="424" w:firstLineChars="202"/>
        <w:textAlignment w:val="auto"/>
        <w:outlineLvl w:val="1"/>
        <w:rPr>
          <w:rFonts w:hint="eastAsia" w:ascii="宋体" w:hAnsi="宋体" w:eastAsia="宋体" w:cs="宋体"/>
          <w:bCs/>
          <w:color w:val="auto"/>
          <w:szCs w:val="21"/>
          <w:highlight w:val="none"/>
        </w:rPr>
      </w:pPr>
      <w:bookmarkStart w:id="1" w:name="_Toc15710"/>
      <w:bookmarkStart w:id="2" w:name="_Toc9219"/>
      <w:bookmarkStart w:id="3" w:name="_Toc28359019"/>
      <w:bookmarkStart w:id="4" w:name="_Toc35393806"/>
      <w:bookmarkStart w:id="5" w:name="_Toc35393637"/>
      <w:bookmarkStart w:id="6" w:name="_Toc46761415"/>
      <w:bookmarkStart w:id="7" w:name="_Toc28359096"/>
      <w:r>
        <w:rPr>
          <w:rFonts w:hint="eastAsia" w:ascii="宋体" w:hAnsi="宋体" w:eastAsia="宋体" w:cs="宋体"/>
          <w:bCs/>
          <w:color w:val="auto"/>
          <w:szCs w:val="21"/>
          <w:highlight w:val="none"/>
        </w:rPr>
        <w:t>1、采购人信息</w:t>
      </w:r>
      <w:bookmarkEnd w:id="1"/>
      <w:bookmarkEnd w:id="2"/>
      <w:bookmarkEnd w:id="3"/>
      <w:bookmarkEnd w:id="4"/>
      <w:bookmarkEnd w:id="5"/>
      <w:bookmarkEnd w:id="6"/>
      <w:bookmarkEnd w:id="7"/>
    </w:p>
    <w:p w14:paraId="0876691A">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eastAsia="zh-CN"/>
        </w:rPr>
        <w:t>国家税务总局钦州市钦南区税务局</w:t>
      </w:r>
    </w:p>
    <w:p w14:paraId="22E0461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lang w:eastAsia="zh-CN"/>
        </w:rPr>
        <w:t>钦州市文峰北路10号</w:t>
      </w:r>
    </w:p>
    <w:p w14:paraId="487801F0">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highlight w:val="none"/>
          <w:lang w:eastAsia="zh-CN"/>
        </w:rPr>
        <w:t>韦梅娜，</w:t>
      </w:r>
      <w:r>
        <w:rPr>
          <w:rFonts w:hint="eastAsia" w:ascii="宋体" w:hAnsi="宋体" w:eastAsia="宋体" w:cs="宋体"/>
          <w:color w:val="auto"/>
          <w:highlight w:val="none"/>
          <w:lang w:val="en-US" w:eastAsia="zh-CN"/>
        </w:rPr>
        <w:t>0777-2838081</w:t>
      </w:r>
    </w:p>
    <w:p w14:paraId="29D88F0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bookmarkStart w:id="8" w:name="_Toc28359020"/>
      <w:bookmarkStart w:id="9" w:name="_Toc24805"/>
      <w:bookmarkStart w:id="10" w:name="_Toc28359097"/>
      <w:bookmarkStart w:id="11" w:name="_Toc35393638"/>
      <w:bookmarkStart w:id="12" w:name="_Toc35393807"/>
      <w:bookmarkStart w:id="13" w:name="_Toc46761417"/>
      <w:r>
        <w:rPr>
          <w:rFonts w:hint="eastAsia" w:ascii="宋体" w:hAnsi="宋体" w:eastAsia="宋体" w:cs="宋体"/>
          <w:bCs/>
          <w:color w:val="auto"/>
          <w:szCs w:val="21"/>
          <w:highlight w:val="none"/>
        </w:rPr>
        <w:t>2、采购代</w:t>
      </w:r>
      <w:r>
        <w:rPr>
          <w:rFonts w:hint="eastAsia" w:ascii="宋体" w:hAnsi="宋体" w:eastAsia="宋体" w:cs="宋体"/>
          <w:color w:val="auto"/>
          <w:szCs w:val="21"/>
          <w:highlight w:val="none"/>
        </w:rPr>
        <w:t>理机构信息</w:t>
      </w:r>
      <w:bookmarkEnd w:id="8"/>
      <w:bookmarkEnd w:id="9"/>
      <w:bookmarkEnd w:id="10"/>
      <w:bookmarkEnd w:id="11"/>
      <w:bookmarkEnd w:id="12"/>
      <w:bookmarkEnd w:id="13"/>
    </w:p>
    <w:p w14:paraId="6BD2B87E">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称：广西众联工程项目管理有限公司</w:t>
      </w:r>
    </w:p>
    <w:p w14:paraId="6554FF2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址：南宁市江南区白沙大道53号松宇时代14A层</w:t>
      </w:r>
    </w:p>
    <w:p w14:paraId="4CA3357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bookmarkStart w:id="14" w:name="_Toc13075"/>
      <w:bookmarkStart w:id="15" w:name="_Toc46761418"/>
      <w:bookmarkStart w:id="16" w:name="_Toc35393639"/>
      <w:bookmarkStart w:id="17" w:name="_Toc28359021"/>
      <w:bookmarkStart w:id="18" w:name="_Toc35393808"/>
      <w:bookmarkStart w:id="19" w:name="_Toc28359098"/>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eastAsia="zh-CN"/>
        </w:rPr>
        <w:t>高叶法、戚程、李宁、易翠兰、李柳婵</w:t>
      </w:r>
      <w:r>
        <w:rPr>
          <w:rFonts w:hint="eastAsia" w:ascii="宋体" w:hAnsi="宋体" w:eastAsia="宋体" w:cs="宋体"/>
          <w:color w:val="auto"/>
          <w:szCs w:val="21"/>
          <w:highlight w:val="none"/>
        </w:rPr>
        <w:t>，0771-4308370</w:t>
      </w:r>
      <w:bookmarkEnd w:id="14"/>
    </w:p>
    <w:p w14:paraId="6FE908D6">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bookmarkStart w:id="20" w:name="_Toc20517"/>
      <w:r>
        <w:rPr>
          <w:rFonts w:hint="eastAsia" w:ascii="宋体" w:hAnsi="宋体" w:eastAsia="宋体" w:cs="宋体"/>
          <w:color w:val="auto"/>
          <w:szCs w:val="21"/>
          <w:highlight w:val="none"/>
        </w:rPr>
        <w:t>3、项目联系方式</w:t>
      </w:r>
      <w:bookmarkEnd w:id="15"/>
      <w:bookmarkEnd w:id="16"/>
      <w:bookmarkEnd w:id="17"/>
      <w:bookmarkEnd w:id="18"/>
      <w:bookmarkEnd w:id="19"/>
      <w:bookmarkEnd w:id="20"/>
    </w:p>
    <w:p w14:paraId="7984BFA3">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eastAsia="zh-CN"/>
        </w:rPr>
        <w:t>高叶法、戚程、李宁、易翠兰、李柳婵</w:t>
      </w:r>
    </w:p>
    <w:p w14:paraId="5535121F">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电话：0771-4308370</w:t>
      </w:r>
    </w:p>
    <w:p w14:paraId="3679726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highlight w:val="none"/>
        </w:rPr>
        <w:sectPr>
          <w:footerReference r:id="rId5" w:type="first"/>
          <w:footerReference r:id="rId4" w:type="default"/>
          <w:pgSz w:w="11906" w:h="16838"/>
          <w:pgMar w:top="1440" w:right="1417" w:bottom="1440" w:left="1417" w:header="851" w:footer="992" w:gutter="0"/>
          <w:pgNumType w:fmt="decimal"/>
          <w:cols w:space="720" w:num="1"/>
          <w:titlePg/>
          <w:docGrid w:type="lines" w:linePitch="312" w:charSpace="0"/>
        </w:sectPr>
      </w:pPr>
    </w:p>
    <w:p w14:paraId="5D88417A">
      <w:pPr>
        <w:pStyle w:val="3"/>
        <w:jc w:val="center"/>
        <w:rPr>
          <w:rFonts w:hint="eastAsia" w:ascii="宋体" w:hAnsi="宋体" w:eastAsia="宋体" w:cs="宋体"/>
          <w:color w:val="auto"/>
          <w:sz w:val="30"/>
          <w:szCs w:val="30"/>
          <w:highlight w:val="none"/>
        </w:rPr>
      </w:pPr>
      <w:bookmarkStart w:id="21" w:name="_Toc6063"/>
      <w:r>
        <w:rPr>
          <w:rFonts w:hint="eastAsia" w:ascii="宋体" w:hAnsi="宋体" w:eastAsia="宋体" w:cs="宋体"/>
          <w:color w:val="auto"/>
          <w:sz w:val="30"/>
          <w:szCs w:val="30"/>
          <w:highlight w:val="none"/>
        </w:rPr>
        <w:t>第二章　供应商须知</w:t>
      </w:r>
      <w:bookmarkEnd w:id="21"/>
    </w:p>
    <w:p w14:paraId="5D85D908">
      <w:pPr>
        <w:pStyle w:val="4"/>
        <w:bidi w:val="0"/>
        <w:jc w:val="center"/>
        <w:rPr>
          <w:rFonts w:hint="eastAsia" w:ascii="宋体" w:hAnsi="宋体" w:eastAsia="宋体" w:cs="宋体"/>
          <w:color w:val="auto"/>
          <w:sz w:val="28"/>
          <w:szCs w:val="28"/>
          <w:highlight w:val="none"/>
        </w:rPr>
      </w:pPr>
      <w:bookmarkStart w:id="22" w:name="_Toc32100"/>
      <w:r>
        <w:rPr>
          <w:rFonts w:hint="eastAsia" w:ascii="宋体" w:hAnsi="宋体" w:eastAsia="宋体" w:cs="宋体"/>
          <w:color w:val="auto"/>
          <w:sz w:val="28"/>
          <w:szCs w:val="28"/>
          <w:highlight w:val="none"/>
        </w:rPr>
        <w:t>供应商须知前附表</w:t>
      </w:r>
      <w:bookmarkEnd w:id="22"/>
    </w:p>
    <w:tbl>
      <w:tblPr>
        <w:tblStyle w:val="15"/>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859"/>
        <w:gridCol w:w="976"/>
        <w:gridCol w:w="5207"/>
      </w:tblGrid>
      <w:tr w14:paraId="1980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6B480A02">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859" w:type="dxa"/>
            <w:tcBorders>
              <w:top w:val="single" w:color="auto" w:sz="4" w:space="0"/>
              <w:left w:val="single" w:color="auto" w:sz="4" w:space="0"/>
              <w:bottom w:val="single" w:color="auto" w:sz="4" w:space="0"/>
              <w:right w:val="single" w:color="auto" w:sz="4" w:space="0"/>
            </w:tcBorders>
            <w:vAlign w:val="center"/>
          </w:tcPr>
          <w:p w14:paraId="204C5F9D">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类  别</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0DD84F60">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075D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tcBorders>
              <w:top w:val="single" w:color="auto" w:sz="4" w:space="0"/>
              <w:left w:val="single" w:color="auto" w:sz="4" w:space="0"/>
              <w:right w:val="single" w:color="auto" w:sz="4" w:space="0"/>
            </w:tcBorders>
            <w:vAlign w:val="center"/>
          </w:tcPr>
          <w:p w14:paraId="6111A420">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59" w:type="dxa"/>
            <w:vMerge w:val="restart"/>
            <w:tcBorders>
              <w:top w:val="single" w:color="auto" w:sz="4" w:space="0"/>
              <w:left w:val="single" w:color="auto" w:sz="4" w:space="0"/>
              <w:right w:val="single" w:color="auto" w:sz="4" w:space="0"/>
            </w:tcBorders>
            <w:vAlign w:val="center"/>
          </w:tcPr>
          <w:p w14:paraId="3C310D89">
            <w:pPr>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项目名称、编号、预算及最高限价</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6150E764">
            <w:pPr>
              <w:adjustRightInd w:val="0"/>
              <w:snapToGrid w:val="0"/>
              <w:spacing w:after="0" w:line="360" w:lineRule="auto"/>
              <w:jc w:val="left"/>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国家税务总局钦州市钦南区税务局食堂食材配送项目</w:t>
            </w:r>
          </w:p>
        </w:tc>
      </w:tr>
      <w:tr w14:paraId="1164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14:paraId="43F3D716">
            <w:pPr>
              <w:adjustRightInd w:val="0"/>
              <w:snapToGrid w:val="0"/>
              <w:spacing w:after="0" w:line="360" w:lineRule="auto"/>
              <w:jc w:val="center"/>
              <w:rPr>
                <w:rFonts w:hint="eastAsia" w:ascii="宋体" w:hAnsi="宋体" w:eastAsia="宋体" w:cs="宋体"/>
                <w:color w:val="auto"/>
                <w:sz w:val="21"/>
                <w:szCs w:val="21"/>
                <w:highlight w:val="none"/>
              </w:rPr>
            </w:pPr>
          </w:p>
        </w:tc>
        <w:tc>
          <w:tcPr>
            <w:tcW w:w="1859" w:type="dxa"/>
            <w:vMerge w:val="continue"/>
            <w:tcBorders>
              <w:left w:val="single" w:color="auto" w:sz="4" w:space="0"/>
              <w:right w:val="single" w:color="auto" w:sz="4" w:space="0"/>
            </w:tcBorders>
            <w:vAlign w:val="center"/>
          </w:tcPr>
          <w:p w14:paraId="3AA920C0">
            <w:pPr>
              <w:adjustRightInd w:val="0"/>
              <w:snapToGrid w:val="0"/>
              <w:spacing w:after="0" w:line="360" w:lineRule="auto"/>
              <w:jc w:val="center"/>
              <w:rPr>
                <w:rFonts w:hint="eastAsia" w:ascii="宋体" w:hAnsi="宋体" w:eastAsia="宋体" w:cs="宋体"/>
                <w:color w:val="auto"/>
                <w:sz w:val="21"/>
                <w:szCs w:val="21"/>
                <w:highlight w:val="none"/>
              </w:rPr>
            </w:pP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3F0451F5">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ZB2024-413</w:t>
            </w:r>
          </w:p>
        </w:tc>
      </w:tr>
      <w:tr w14:paraId="151A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tcBorders>
              <w:left w:val="single" w:color="auto" w:sz="4" w:space="0"/>
              <w:right w:val="single" w:color="auto" w:sz="4" w:space="0"/>
            </w:tcBorders>
            <w:vAlign w:val="center"/>
          </w:tcPr>
          <w:p w14:paraId="45E44AA1">
            <w:pPr>
              <w:adjustRightInd w:val="0"/>
              <w:snapToGrid w:val="0"/>
              <w:spacing w:after="0" w:line="360" w:lineRule="auto"/>
              <w:jc w:val="center"/>
              <w:rPr>
                <w:rFonts w:hint="eastAsia" w:ascii="宋体" w:hAnsi="宋体" w:eastAsia="宋体" w:cs="宋体"/>
                <w:color w:val="auto"/>
                <w:sz w:val="21"/>
                <w:szCs w:val="21"/>
                <w:highlight w:val="none"/>
              </w:rPr>
            </w:pPr>
          </w:p>
        </w:tc>
        <w:tc>
          <w:tcPr>
            <w:tcW w:w="1859" w:type="dxa"/>
            <w:vMerge w:val="continue"/>
            <w:tcBorders>
              <w:left w:val="single" w:color="auto" w:sz="4" w:space="0"/>
              <w:right w:val="single" w:color="auto" w:sz="4" w:space="0"/>
            </w:tcBorders>
            <w:vAlign w:val="center"/>
          </w:tcPr>
          <w:p w14:paraId="154C41AB">
            <w:pPr>
              <w:adjustRightInd w:val="0"/>
              <w:snapToGrid w:val="0"/>
              <w:spacing w:after="0" w:line="360" w:lineRule="auto"/>
              <w:jc w:val="center"/>
              <w:rPr>
                <w:rFonts w:hint="eastAsia" w:ascii="宋体" w:hAnsi="宋体" w:eastAsia="宋体" w:cs="宋体"/>
                <w:color w:val="auto"/>
                <w:sz w:val="21"/>
                <w:szCs w:val="21"/>
                <w:highlight w:val="none"/>
              </w:rPr>
            </w:pP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65882FAC">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项目预算：</w:t>
            </w: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lang w:eastAsia="zh-CN"/>
              </w:rPr>
              <w:t>陆拾万元整（¥600000.00）</w:t>
            </w:r>
          </w:p>
        </w:tc>
      </w:tr>
      <w:tr w14:paraId="038B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42731907">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59" w:type="dxa"/>
            <w:tcBorders>
              <w:top w:val="single" w:color="auto" w:sz="4" w:space="0"/>
              <w:left w:val="single" w:color="auto" w:sz="4" w:space="0"/>
              <w:bottom w:val="single" w:color="auto" w:sz="4" w:space="0"/>
              <w:right w:val="single" w:color="auto" w:sz="4" w:space="0"/>
            </w:tcBorders>
            <w:vAlign w:val="center"/>
          </w:tcPr>
          <w:p w14:paraId="5CBAE60E">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63D4A9D7">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文件（技术部分）》</w:t>
            </w:r>
          </w:p>
        </w:tc>
      </w:tr>
      <w:tr w14:paraId="16C5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39892AC7">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59" w:type="dxa"/>
            <w:tcBorders>
              <w:top w:val="single" w:color="auto" w:sz="4" w:space="0"/>
              <w:left w:val="single" w:color="auto" w:sz="4" w:space="0"/>
              <w:bottom w:val="single" w:color="auto" w:sz="4" w:space="0"/>
              <w:right w:val="single" w:color="auto" w:sz="4" w:space="0"/>
            </w:tcBorders>
            <w:vAlign w:val="center"/>
          </w:tcPr>
          <w:p w14:paraId="2015D3D7">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项目属性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类别</w:t>
            </w:r>
            <w:r>
              <w:rPr>
                <w:rFonts w:hint="eastAsia" w:ascii="宋体" w:hAnsi="宋体" w:eastAsia="宋体" w:cs="宋体"/>
                <w:color w:val="auto"/>
                <w:szCs w:val="21"/>
                <w:highlight w:val="none"/>
                <w:lang w:eastAsia="zh-CN"/>
              </w:rPr>
              <w:t>等</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034352BA">
            <w:pPr>
              <w:adjustRightInd w:val="0"/>
              <w:snapToGrid w:val="0"/>
              <w:spacing w:after="0"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 xml:space="preserve">货物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服务         </w:t>
            </w: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工程</w:t>
            </w:r>
          </w:p>
          <w:p w14:paraId="0A2FC25E">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项目类别：</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信息化项目   </w:t>
            </w: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非信息化项目</w:t>
            </w:r>
          </w:p>
          <w:p w14:paraId="3A0228F8">
            <w:pPr>
              <w:pStyle w:val="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本项目属于</w:t>
            </w:r>
            <w:r>
              <w:rPr>
                <w:rFonts w:hint="eastAsia" w:ascii="宋体" w:hAnsi="宋体" w:eastAsia="宋体" w:cs="宋体"/>
                <w:color w:val="auto"/>
                <w:sz w:val="21"/>
                <w:szCs w:val="21"/>
                <w:highlight w:val="none"/>
                <w:lang w:eastAsia="zh-CN"/>
              </w:rPr>
              <w:t>目录外标准下项目</w:t>
            </w:r>
          </w:p>
        </w:tc>
      </w:tr>
      <w:tr w14:paraId="5C7C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0DE3524D">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859" w:type="dxa"/>
            <w:tcBorders>
              <w:top w:val="single" w:color="auto" w:sz="4" w:space="0"/>
              <w:left w:val="single" w:color="auto" w:sz="4" w:space="0"/>
              <w:bottom w:val="single" w:color="auto" w:sz="4" w:space="0"/>
              <w:right w:val="single" w:color="auto" w:sz="4" w:space="0"/>
            </w:tcBorders>
            <w:vAlign w:val="center"/>
          </w:tcPr>
          <w:p w14:paraId="5B5729A0">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32D53256">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eastAsia="宋体" w:cs="宋体"/>
                <w:color w:val="auto"/>
                <w:szCs w:val="21"/>
                <w:highlight w:val="none"/>
                <w:lang w:eastAsia="zh-CN"/>
              </w:rPr>
              <w:t>国家税务总局钦州市钦南区税务局</w:t>
            </w:r>
          </w:p>
          <w:p w14:paraId="654F6F04">
            <w:pPr>
              <w:adjustRightInd w:val="0"/>
              <w:snapToGrid w:val="0"/>
              <w:spacing w:after="0" w:line="360" w:lineRule="auto"/>
              <w:jc w:val="left"/>
              <w:rPr>
                <w:rFonts w:hint="eastAsia" w:ascii="宋体" w:hAnsi="宋体" w:eastAsia="宋体" w:cs="宋体"/>
                <w:bCs/>
                <w:color w:val="auto"/>
                <w:sz w:val="21"/>
                <w:szCs w:val="21"/>
                <w:highlight w:val="none"/>
                <w:lang w:val="en-US"/>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钦州市文峰北路10号</w:t>
            </w:r>
          </w:p>
          <w:p w14:paraId="63ADA370">
            <w:pPr>
              <w:adjustRightInd w:val="0"/>
              <w:snapToGrid w:val="0"/>
              <w:spacing w:after="0" w:line="360" w:lineRule="auto"/>
              <w:jc w:val="left"/>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rPr>
              <w:t>联系</w:t>
            </w:r>
            <w:r>
              <w:rPr>
                <w:rFonts w:hint="eastAsia" w:ascii="宋体" w:hAnsi="宋体" w:eastAsia="宋体" w:cs="宋体"/>
                <w:bCs/>
                <w:color w:val="auto"/>
                <w:sz w:val="21"/>
                <w:szCs w:val="21"/>
                <w:highlight w:val="none"/>
              </w:rPr>
              <w:t>电话：</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0777-2838081</w:t>
            </w:r>
          </w:p>
          <w:p w14:paraId="37276DE2">
            <w:pPr>
              <w:adjustRightInd w:val="0"/>
              <w:snapToGrid w:val="0"/>
              <w:spacing w:after="0" w:line="36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韦梅娜</w:t>
            </w:r>
            <w:r>
              <w:rPr>
                <w:rFonts w:hint="eastAsia" w:ascii="宋体" w:hAnsi="宋体" w:eastAsia="宋体" w:cs="宋体"/>
                <w:color w:val="auto"/>
                <w:highlight w:val="none"/>
                <w:lang w:val="en-US" w:eastAsia="zh-CN"/>
              </w:rPr>
              <w:t xml:space="preserve"> </w:t>
            </w:r>
          </w:p>
        </w:tc>
      </w:tr>
      <w:tr w14:paraId="7626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3C29A58A">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859" w:type="dxa"/>
            <w:tcBorders>
              <w:top w:val="single" w:color="auto" w:sz="4" w:space="0"/>
              <w:left w:val="single" w:color="auto" w:sz="4" w:space="0"/>
              <w:bottom w:val="single" w:color="auto" w:sz="4" w:space="0"/>
              <w:right w:val="single" w:color="auto" w:sz="4" w:space="0"/>
            </w:tcBorders>
            <w:vAlign w:val="center"/>
          </w:tcPr>
          <w:p w14:paraId="6595F8AC">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4DCA04E1">
            <w:pPr>
              <w:adjustRightInd w:val="0"/>
              <w:snapToGrid w:val="0"/>
              <w:spacing w:after="0"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Cs w:val="21"/>
                <w:highlight w:val="none"/>
              </w:rPr>
              <w:t>广西众联工程项目管理有限公司</w:t>
            </w:r>
          </w:p>
          <w:p w14:paraId="79A07DCE">
            <w:pPr>
              <w:adjustRightInd w:val="0"/>
              <w:snapToGrid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Cs w:val="21"/>
                <w:highlight w:val="none"/>
              </w:rPr>
              <w:t>南宁市江南区白沙大道53号松宇时代14A层</w:t>
            </w:r>
          </w:p>
          <w:p w14:paraId="222CC6F3">
            <w:pPr>
              <w:adjustRightInd w:val="0"/>
              <w:snapToGrid w:val="0"/>
              <w:spacing w:after="0" w:line="360" w:lineRule="auto"/>
              <w:jc w:val="left"/>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联系</w:t>
            </w:r>
            <w:r>
              <w:rPr>
                <w:rFonts w:hint="eastAsia" w:ascii="宋体" w:hAnsi="宋体" w:eastAsia="宋体" w:cs="宋体"/>
                <w:bCs/>
                <w:color w:val="auto"/>
                <w:sz w:val="21"/>
                <w:szCs w:val="21"/>
                <w:highlight w:val="none"/>
              </w:rPr>
              <w:t>电话：</w:t>
            </w:r>
            <w:r>
              <w:rPr>
                <w:rFonts w:hint="eastAsia" w:ascii="宋体" w:hAnsi="宋体" w:eastAsia="宋体" w:cs="宋体"/>
                <w:color w:val="auto"/>
                <w:szCs w:val="21"/>
                <w:highlight w:val="none"/>
              </w:rPr>
              <w:t>0771-4308370</w:t>
            </w:r>
          </w:p>
          <w:p w14:paraId="6FD123B0">
            <w:pPr>
              <w:adjustRightInd w:val="0"/>
              <w:snapToGrid w:val="0"/>
              <w:spacing w:after="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高叶法、戚程、李宁、易翠兰、李柳婵</w:t>
            </w:r>
          </w:p>
          <w:p w14:paraId="0C19D4C6">
            <w:pPr>
              <w:adjustRightInd w:val="0"/>
              <w:snapToGrid w:val="0"/>
              <w:spacing w:after="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邮箱：</w:t>
            </w:r>
            <w:r>
              <w:rPr>
                <w:rFonts w:hint="eastAsia" w:ascii="宋体" w:hAnsi="宋体" w:eastAsia="宋体" w:cs="宋体"/>
                <w:color w:val="auto"/>
                <w:sz w:val="21"/>
                <w:szCs w:val="21"/>
                <w:highlight w:val="none"/>
                <w:u w:val="none"/>
                <w:lang w:val="en-US" w:eastAsia="zh-CN"/>
              </w:rPr>
              <w:t>258838465@qq.com</w:t>
            </w:r>
          </w:p>
        </w:tc>
      </w:tr>
      <w:tr w14:paraId="76BD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328CEC28">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859" w:type="dxa"/>
            <w:tcBorders>
              <w:top w:val="single" w:color="auto" w:sz="4" w:space="0"/>
              <w:left w:val="single" w:color="auto" w:sz="4" w:space="0"/>
              <w:bottom w:val="single" w:color="auto" w:sz="4" w:space="0"/>
              <w:right w:val="single" w:color="auto" w:sz="4" w:space="0"/>
            </w:tcBorders>
            <w:vAlign w:val="center"/>
          </w:tcPr>
          <w:p w14:paraId="00C40BC9">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供应商产生方法</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2077D5F6">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公告</w:t>
            </w:r>
          </w:p>
          <w:p w14:paraId="2F091982">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供应商库抽取</w:t>
            </w:r>
          </w:p>
          <w:p w14:paraId="51323AB6">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专家和采购人推荐</w:t>
            </w:r>
          </w:p>
        </w:tc>
      </w:tr>
      <w:tr w14:paraId="214A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7B3D1DB8">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859" w:type="dxa"/>
            <w:tcBorders>
              <w:top w:val="single" w:color="auto" w:sz="4" w:space="0"/>
              <w:left w:val="single" w:color="auto" w:sz="4" w:space="0"/>
              <w:bottom w:val="single" w:color="auto" w:sz="4" w:space="0"/>
              <w:right w:val="single" w:color="auto" w:sz="4" w:space="0"/>
            </w:tcBorders>
            <w:vAlign w:val="center"/>
          </w:tcPr>
          <w:p w14:paraId="72F5BC89">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符合要求供应商家数</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387E5B4B">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是否允许符合要求的供应商只有2家时可以继续进行采购活动：</w:t>
            </w:r>
          </w:p>
          <w:p w14:paraId="470A6A00">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否 </w:t>
            </w:r>
          </w:p>
          <w:p w14:paraId="37AC6447">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w:t>
            </w:r>
          </w:p>
        </w:tc>
      </w:tr>
      <w:tr w14:paraId="5A5C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019641EC">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859" w:type="dxa"/>
            <w:tcBorders>
              <w:top w:val="single" w:color="auto" w:sz="4" w:space="0"/>
              <w:left w:val="single" w:color="auto" w:sz="4" w:space="0"/>
              <w:bottom w:val="single" w:color="auto" w:sz="4" w:space="0"/>
              <w:right w:val="single" w:color="auto" w:sz="4" w:space="0"/>
            </w:tcBorders>
            <w:vAlign w:val="center"/>
          </w:tcPr>
          <w:p w14:paraId="0CA4E584">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供应商资格要求</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691A8167">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1.本项目由符合国家有关法律法规规定、同时满足本项目资质要求、在中国境内的供应商参加磋商。</w:t>
            </w:r>
          </w:p>
          <w:p w14:paraId="554399EF">
            <w:pPr>
              <w:keepNext w:val="0"/>
              <w:keepLines w:val="0"/>
              <w:pageBreakBefore w:val="0"/>
              <w:widowControl/>
              <w:numPr>
                <w:ilvl w:val="-1"/>
                <w:numId w:val="0"/>
              </w:numPr>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供应商参加本采购活动应当具备下列条件：（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w:t>
            </w:r>
          </w:p>
          <w:p w14:paraId="04B9F302">
            <w:pPr>
              <w:keepNext w:val="0"/>
              <w:keepLines w:val="0"/>
              <w:pageBreakBefore w:val="0"/>
              <w:widowControl/>
              <w:numPr>
                <w:ilvl w:val="-1"/>
                <w:numId w:val="0"/>
              </w:numPr>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Cs w:val="21"/>
                <w:highlight w:val="none"/>
              </w:rPr>
              <w:t>本项目属于专门面向中小企业采购的项目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供应商应为符合《政府采购促进中小企业发展管理办法》（财库﹝2020﹞46号）、《关于政府采购支持监狱企业发展有关问题的通知》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财库〔2014〕68号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、《关于促进残疾人就业政府采购政策的通知》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财库〔2017〕141号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等规定的条件的中小微企业、或监狱企业、或残疾人福利性单位。</w:t>
            </w:r>
            <w:r>
              <w:rPr>
                <w:rFonts w:hint="eastAsia" w:ascii="宋体" w:hAnsi="宋体" w:eastAsia="宋体" w:cs="宋体"/>
                <w:color w:val="auto"/>
                <w:szCs w:val="21"/>
                <w:highlight w:val="none"/>
                <w:u w:val="none"/>
              </w:rPr>
              <w:t>即在本采购项目中（服务类），服务由中小企业承接（提供服务的人员为中小企业依照《中华人民共和国劳动合同法》订立劳动合同的从业人员）。供应商需提供中小企业声明函（须符合《关于印发中小企业划型标准规定的通知》（工信部联企业〔2011〕300号）规定的中小企业划分标准），属于残疾人福利性单位的需提供残疾人福利性单位声明函，属于监狱企业的需提供由省级以上监狱管理局、戒毒管理局（含新疆生产建设兵团）出具的属于监狱企业的证明文件。</w:t>
            </w:r>
            <w:r>
              <w:rPr>
                <w:rFonts w:hint="eastAsia" w:ascii="宋体" w:hAnsi="宋体" w:eastAsia="宋体" w:cs="宋体"/>
                <w:color w:val="auto"/>
                <w:szCs w:val="21"/>
                <w:highlight w:val="none"/>
              </w:rPr>
              <w:t>本项目采购</w:t>
            </w:r>
            <w:r>
              <w:rPr>
                <w:rFonts w:hint="eastAsia" w:ascii="宋体" w:hAnsi="宋体" w:eastAsia="宋体" w:cs="宋体"/>
                <w:color w:val="auto"/>
                <w:sz w:val="21"/>
                <w:szCs w:val="21"/>
                <w:highlight w:val="none"/>
              </w:rPr>
              <w:t>标的对应的中小企业划分标准所属行业为</w:t>
            </w:r>
            <w:r>
              <w:rPr>
                <w:rFonts w:hint="eastAsia" w:ascii="宋体" w:hAnsi="宋体" w:eastAsia="宋体" w:cs="宋体"/>
                <w:color w:val="auto"/>
                <w:sz w:val="21"/>
                <w:szCs w:val="21"/>
                <w:highlight w:val="none"/>
                <w:lang w:eastAsia="zh-CN"/>
              </w:rPr>
              <w:t>批发业</w:t>
            </w:r>
            <w:r>
              <w:rPr>
                <w:rFonts w:hint="eastAsia" w:ascii="宋体" w:hAnsi="宋体" w:eastAsia="宋体" w:cs="宋体"/>
                <w:color w:val="auto"/>
                <w:sz w:val="21"/>
                <w:szCs w:val="21"/>
                <w:highlight w:val="none"/>
              </w:rPr>
              <w:t>。</w:t>
            </w:r>
          </w:p>
          <w:p w14:paraId="6CDC2C6D">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本项目的特定资格要求：</w:t>
            </w:r>
            <w:r>
              <w:rPr>
                <w:rFonts w:hint="eastAsia" w:ascii="宋体" w:hAnsi="宋体" w:eastAsia="宋体" w:cs="宋体"/>
                <w:color w:val="auto"/>
                <w:sz w:val="21"/>
                <w:szCs w:val="21"/>
                <w:highlight w:val="none"/>
                <w:lang w:eastAsia="zh-CN"/>
              </w:rPr>
              <w:t>具有有效的《食品经营许可证》。</w:t>
            </w:r>
          </w:p>
          <w:p w14:paraId="49AD52DB">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对在“信用中国”网站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中国政府采购网</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等渠道被列入失信被执行人、重大税收违法失信主体、政府采购严重违法失信行为记录名单及其他不符合《中华人民共和国政府采购法》第二十二条规定条件的供应商，不得参与</w:t>
            </w:r>
            <w:r>
              <w:rPr>
                <w:rFonts w:hint="eastAsia" w:ascii="宋体" w:hAnsi="宋体" w:eastAsia="宋体" w:cs="宋体"/>
                <w:color w:val="auto"/>
                <w:sz w:val="21"/>
                <w:szCs w:val="21"/>
                <w:highlight w:val="none"/>
                <w:lang w:eastAsia="zh-CN"/>
              </w:rPr>
              <w:t>本项目</w:t>
            </w:r>
            <w:r>
              <w:rPr>
                <w:rFonts w:hint="eastAsia" w:ascii="宋体" w:hAnsi="宋体" w:eastAsia="宋体" w:cs="宋体"/>
                <w:color w:val="auto"/>
                <w:sz w:val="21"/>
                <w:szCs w:val="21"/>
                <w:highlight w:val="none"/>
              </w:rPr>
              <w:t>采购活动。</w:t>
            </w:r>
          </w:p>
          <w:p w14:paraId="58495DFE">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6.单</w:t>
            </w:r>
            <w:r>
              <w:rPr>
                <w:rFonts w:hint="eastAsia" w:ascii="宋体" w:hAnsi="宋体" w:eastAsia="宋体" w:cs="宋体"/>
                <w:color w:val="auto"/>
                <w:sz w:val="21"/>
                <w:szCs w:val="21"/>
                <w:highlight w:val="none"/>
              </w:rPr>
              <w:t>位负责人为同一人或者存在直接控股、管理关系的不同供应商，不得参加同一合同项下的采购活动。</w:t>
            </w:r>
          </w:p>
          <w:p w14:paraId="34275E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为本项目提供整体设计、规范编制或者项目管理、监理、检测等服务的供应商，不得再参加本次采购活动。</w:t>
            </w:r>
          </w:p>
          <w:p w14:paraId="5518B8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p>
        </w:tc>
      </w:tr>
      <w:tr w14:paraId="3CC3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4E354897">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59" w:type="dxa"/>
            <w:tcBorders>
              <w:top w:val="single" w:color="auto" w:sz="4" w:space="0"/>
              <w:left w:val="single" w:color="auto" w:sz="4" w:space="0"/>
              <w:bottom w:val="single" w:color="auto" w:sz="4" w:space="0"/>
              <w:right w:val="single" w:color="auto" w:sz="4" w:space="0"/>
            </w:tcBorders>
            <w:vAlign w:val="center"/>
          </w:tcPr>
          <w:p w14:paraId="3766F241">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是否接受联合体磋商</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075E7DE9">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157D4AB9">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接受（接受联合体且供应商为联合体的，供应商应提供联合体协议；否则无须提供）</w:t>
            </w:r>
          </w:p>
        </w:tc>
      </w:tr>
      <w:tr w14:paraId="6463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6A7D338A">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859" w:type="dxa"/>
            <w:tcBorders>
              <w:top w:val="single" w:color="auto" w:sz="4" w:space="0"/>
              <w:left w:val="single" w:color="auto" w:sz="4" w:space="0"/>
              <w:bottom w:val="single" w:color="auto" w:sz="4" w:space="0"/>
              <w:right w:val="single" w:color="auto" w:sz="4" w:space="0"/>
            </w:tcBorders>
            <w:vAlign w:val="center"/>
          </w:tcPr>
          <w:p w14:paraId="14BB010B">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694B7ACD">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eastAsia="zh-CN"/>
              </w:rPr>
              <w:t>批发业</w:t>
            </w:r>
          </w:p>
        </w:tc>
      </w:tr>
      <w:tr w14:paraId="1DD2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tcBorders>
              <w:top w:val="single" w:color="auto" w:sz="4" w:space="0"/>
              <w:left w:val="single" w:color="auto" w:sz="4" w:space="0"/>
              <w:bottom w:val="single" w:color="auto" w:sz="4" w:space="0"/>
              <w:right w:val="single" w:color="auto" w:sz="4" w:space="0"/>
            </w:tcBorders>
            <w:vAlign w:val="center"/>
          </w:tcPr>
          <w:p w14:paraId="52D1FDF0">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59" w:type="dxa"/>
            <w:tcBorders>
              <w:top w:val="single" w:color="auto" w:sz="4" w:space="0"/>
              <w:left w:val="single" w:color="auto" w:sz="4" w:space="0"/>
              <w:bottom w:val="single" w:color="auto" w:sz="4" w:space="0"/>
              <w:right w:val="single" w:color="auto" w:sz="4" w:space="0"/>
            </w:tcBorders>
            <w:vAlign w:val="center"/>
          </w:tcPr>
          <w:p w14:paraId="3C01D32A">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非主体、非关键性工作分包</w:t>
            </w:r>
          </w:p>
        </w:tc>
        <w:tc>
          <w:tcPr>
            <w:tcW w:w="6183" w:type="dxa"/>
            <w:gridSpan w:val="2"/>
            <w:tcBorders>
              <w:top w:val="single" w:color="auto" w:sz="4" w:space="0"/>
              <w:left w:val="single" w:color="auto" w:sz="4" w:space="0"/>
              <w:bottom w:val="single" w:color="auto" w:sz="4" w:space="0"/>
              <w:right w:val="single" w:color="auto" w:sz="4" w:space="0"/>
            </w:tcBorders>
            <w:vAlign w:val="center"/>
          </w:tcPr>
          <w:p w14:paraId="4EF00B6E">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是否允许供应商将本项目的非主体、非关键性工作进行分包：</w:t>
            </w:r>
          </w:p>
          <w:p w14:paraId="373B06A0">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p>
          <w:p w14:paraId="5DCBA994">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不允许</w:t>
            </w:r>
          </w:p>
          <w:p w14:paraId="3B1840FE">
            <w:pPr>
              <w:adjustRightInd w:val="0"/>
              <w:snapToGrid w:val="0"/>
              <w:spacing w:after="0" w:line="360" w:lineRule="auto"/>
              <w:jc w:val="left"/>
              <w:rPr>
                <w:rFonts w:hint="eastAsia" w:ascii="宋体" w:hAnsi="宋体" w:eastAsia="宋体" w:cs="宋体"/>
                <w:i/>
                <w:color w:val="auto"/>
                <w:sz w:val="21"/>
                <w:szCs w:val="21"/>
                <w:highlight w:val="none"/>
                <w:u w:val="single"/>
              </w:rPr>
            </w:pPr>
            <w:r>
              <w:rPr>
                <w:rFonts w:hint="eastAsia" w:ascii="宋体" w:hAnsi="宋体" w:eastAsia="宋体" w:cs="宋体"/>
                <w:color w:val="auto"/>
                <w:sz w:val="21"/>
                <w:szCs w:val="21"/>
                <w:highlight w:val="none"/>
              </w:rPr>
              <w:t>□允许，</w:t>
            </w:r>
            <w:r>
              <w:rPr>
                <w:rFonts w:hint="eastAsia" w:ascii="宋体" w:hAnsi="宋体" w:eastAsia="宋体" w:cs="宋体"/>
                <w:i/>
                <w:color w:val="auto"/>
                <w:sz w:val="21"/>
                <w:szCs w:val="21"/>
                <w:highlight w:val="none"/>
                <w:u w:val="single"/>
              </w:rPr>
              <w:t>（写明可以分包履行的具体内容、金额或者比例）</w:t>
            </w:r>
          </w:p>
          <w:p w14:paraId="4B4EC0F3">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采购包2：</w:t>
            </w:r>
            <w:r>
              <w:rPr>
                <w:rFonts w:hint="eastAsia" w:ascii="宋体" w:hAnsi="宋体" w:eastAsia="宋体" w:cs="宋体"/>
                <w:color w:val="auto"/>
                <w:sz w:val="21"/>
                <w:szCs w:val="21"/>
                <w:highlight w:val="none"/>
                <w:u w:val="single"/>
              </w:rPr>
              <w:t xml:space="preserve">                 </w:t>
            </w:r>
          </w:p>
        </w:tc>
      </w:tr>
      <w:tr w14:paraId="42DB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40111829">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859" w:type="dxa"/>
            <w:vAlign w:val="center"/>
          </w:tcPr>
          <w:p w14:paraId="13E82123">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w:t>
            </w:r>
          </w:p>
        </w:tc>
        <w:tc>
          <w:tcPr>
            <w:tcW w:w="6183" w:type="dxa"/>
            <w:gridSpan w:val="2"/>
            <w:vAlign w:val="center"/>
          </w:tcPr>
          <w:p w14:paraId="2A4EF4DB">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货物类项目填写此栏</w:t>
            </w:r>
          </w:p>
          <w:p w14:paraId="33CC1A1A">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无</w:t>
            </w:r>
          </w:p>
          <w:p w14:paraId="5EF2B2A8">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有</w:t>
            </w:r>
          </w:p>
          <w:p w14:paraId="27A05B87">
            <w:pPr>
              <w:adjustRightInd w:val="0"/>
              <w:snapToGrid w:val="0"/>
              <w:spacing w:after="0" w:line="360" w:lineRule="auto"/>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产品名称：</w:t>
            </w:r>
            <w:r>
              <w:rPr>
                <w:rFonts w:hint="eastAsia" w:ascii="宋体" w:hAnsi="宋体" w:eastAsia="宋体" w:cs="宋体"/>
                <w:color w:val="auto"/>
                <w:sz w:val="21"/>
                <w:szCs w:val="21"/>
                <w:highlight w:val="none"/>
                <w:u w:val="single"/>
              </w:rPr>
              <w:t xml:space="preserve">      </w:t>
            </w:r>
          </w:p>
          <w:p w14:paraId="4178FBAB">
            <w:pPr>
              <w:adjustRightInd w:val="0"/>
              <w:snapToGrid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在本采购项目中，提供相同品牌产品且通过资格审查、实质性响应审查的不同供应商参加同一合同项下磋商的，按一家供应商计算，评审后得分最高的同品牌供应商获得成交供应商推荐资格；评审得分相同的，由采购人或者采购人委托磋商小组按照</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的方式</w:t>
            </w:r>
            <w:r>
              <w:rPr>
                <w:rFonts w:hint="eastAsia" w:ascii="宋体" w:hAnsi="宋体" w:eastAsia="宋体" w:cs="宋体"/>
                <w:b/>
                <w:bCs/>
                <w:color w:val="auto"/>
                <w:sz w:val="21"/>
                <w:szCs w:val="21"/>
                <w:highlight w:val="none"/>
              </w:rPr>
              <w:t>确定一个供应商获得成交供应商推荐资格，磋商文件未规定的采取随机抽取方式确定，其他同品牌供应商不作为成交候选人。</w:t>
            </w:r>
          </w:p>
          <w:p w14:paraId="7DFAD5E5">
            <w:pPr>
              <w:adjustRightInd w:val="0"/>
              <w:snapToGrid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单个采购包按以上条款计算的供应商家数不足规定家数的，则该采购包的采购活动结束。</w:t>
            </w:r>
          </w:p>
        </w:tc>
      </w:tr>
      <w:tr w14:paraId="15402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3A12A8D7">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859" w:type="dxa"/>
            <w:vAlign w:val="center"/>
          </w:tcPr>
          <w:p w14:paraId="364A50E1">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采购进口产品</w:t>
            </w:r>
          </w:p>
        </w:tc>
        <w:tc>
          <w:tcPr>
            <w:tcW w:w="6183" w:type="dxa"/>
            <w:gridSpan w:val="2"/>
            <w:vAlign w:val="center"/>
          </w:tcPr>
          <w:p w14:paraId="4423C356">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本采购项目拒绝进口产品参加磋商</w:t>
            </w:r>
          </w:p>
          <w:p w14:paraId="1E952B0C">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□本采购项目已经财政部审核同意购买进口产品</w:t>
            </w:r>
          </w:p>
          <w:p w14:paraId="39FA0B9A">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本项目属于服务类项目</w:t>
            </w:r>
          </w:p>
        </w:tc>
      </w:tr>
      <w:tr w14:paraId="2393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07FE3F83">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59" w:type="dxa"/>
            <w:vAlign w:val="center"/>
          </w:tcPr>
          <w:p w14:paraId="26BDEB2F">
            <w:pPr>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信息发布媒体</w:t>
            </w:r>
          </w:p>
        </w:tc>
        <w:tc>
          <w:tcPr>
            <w:tcW w:w="6183" w:type="dxa"/>
            <w:gridSpan w:val="2"/>
            <w:vAlign w:val="center"/>
          </w:tcPr>
          <w:p w14:paraId="46705110">
            <w:pPr>
              <w:adjustRightInd w:val="0"/>
              <w:snapToGrid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lang w:eastAsia="zh-CN"/>
              </w:rPr>
              <w:t>国家税务总局广西壮族自治区税务局网站钦州频道</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https://guangxi.chinatax.gov.cn/qinzhou/</w:t>
            </w:r>
            <w:r>
              <w:rPr>
                <w:rFonts w:hint="eastAsia" w:ascii="宋体" w:hAnsi="宋体" w:eastAsia="宋体" w:cs="宋体"/>
                <w:color w:val="auto"/>
                <w:szCs w:val="21"/>
                <w:highlight w:val="none"/>
              </w:rPr>
              <w:t>）</w:t>
            </w:r>
          </w:p>
          <w:p w14:paraId="4B20D068">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rPr>
              <w:t>广西众联工程项目管理有限公司网站（</w:t>
            </w:r>
            <w:r>
              <w:rPr>
                <w:rFonts w:hint="eastAsia" w:ascii="宋体" w:hAnsi="宋体" w:eastAsia="宋体" w:cs="宋体"/>
                <w:color w:val="auto"/>
                <w:szCs w:val="21"/>
                <w:highlight w:val="none"/>
                <w:lang w:eastAsia="zh-CN"/>
              </w:rPr>
              <w:t>http://www.gxzhonglian.cn/default.aspx</w:t>
            </w:r>
            <w:r>
              <w:rPr>
                <w:rFonts w:hint="eastAsia" w:ascii="宋体" w:hAnsi="宋体" w:eastAsia="宋体" w:cs="宋体"/>
                <w:color w:val="auto"/>
                <w:szCs w:val="21"/>
                <w:highlight w:val="none"/>
              </w:rPr>
              <w:t>）</w:t>
            </w:r>
          </w:p>
        </w:tc>
      </w:tr>
      <w:tr w14:paraId="671C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4626DD63">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59" w:type="dxa"/>
            <w:vAlign w:val="center"/>
          </w:tcPr>
          <w:p w14:paraId="31CEFEC1">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p>
          <w:p w14:paraId="0E0E4FFE">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时间、地点和</w:t>
            </w:r>
          </w:p>
          <w:p w14:paraId="7A242C4C">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方式等</w:t>
            </w:r>
          </w:p>
        </w:tc>
        <w:tc>
          <w:tcPr>
            <w:tcW w:w="6183" w:type="dxa"/>
            <w:gridSpan w:val="2"/>
            <w:vAlign w:val="center"/>
          </w:tcPr>
          <w:p w14:paraId="542AF95A">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19</w:t>
            </w:r>
            <w:r>
              <w:rPr>
                <w:rFonts w:hint="eastAsia" w:ascii="宋体" w:hAnsi="宋体" w:eastAsia="宋体" w:cs="宋体"/>
                <w:color w:val="auto"/>
                <w:sz w:val="21"/>
                <w:szCs w:val="21"/>
                <w:highlight w:val="none"/>
                <w:u w:val="single"/>
              </w:rPr>
              <w:t>日公告发布之时起至202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26</w:t>
            </w:r>
            <w:r>
              <w:rPr>
                <w:rFonts w:hint="eastAsia" w:ascii="宋体" w:hAnsi="宋体" w:eastAsia="宋体" w:cs="宋体"/>
                <w:color w:val="auto"/>
                <w:sz w:val="21"/>
                <w:szCs w:val="21"/>
                <w:highlight w:val="none"/>
                <w:u w:val="single"/>
              </w:rPr>
              <w:t>日止，</w:t>
            </w:r>
            <w:r>
              <w:rPr>
                <w:rFonts w:hint="eastAsia" w:ascii="宋体" w:hAnsi="宋体" w:eastAsia="宋体" w:cs="宋体"/>
                <w:iCs/>
                <w:color w:val="auto"/>
                <w:sz w:val="21"/>
                <w:szCs w:val="21"/>
                <w:highlight w:val="none"/>
                <w:u w:val="single"/>
              </w:rPr>
              <w:t>（</w:t>
            </w:r>
            <w:r>
              <w:rPr>
                <w:rFonts w:hint="eastAsia" w:ascii="宋体" w:hAnsi="宋体" w:eastAsia="宋体" w:cs="宋体"/>
                <w:i/>
                <w:color w:val="auto"/>
                <w:sz w:val="21"/>
                <w:szCs w:val="21"/>
                <w:highlight w:val="none"/>
                <w:u w:val="single"/>
              </w:rPr>
              <w:t>磋商文件的发售期限自开始之日起不得少于5个工作日</w:t>
            </w:r>
            <w:r>
              <w:rPr>
                <w:rFonts w:hint="eastAsia" w:ascii="宋体" w:hAnsi="宋体" w:eastAsia="宋体" w:cs="宋体"/>
                <w:iCs/>
                <w:color w:val="auto"/>
                <w:sz w:val="21"/>
                <w:szCs w:val="21"/>
                <w:highlight w:val="none"/>
                <w:u w:val="single"/>
              </w:rPr>
              <w:t>）</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工作日</w:t>
            </w:r>
            <w:r>
              <w:rPr>
                <w:rFonts w:hint="eastAsia" w:ascii="宋体" w:hAnsi="宋体" w:eastAsia="宋体" w:cs="宋体"/>
                <w:color w:val="auto"/>
                <w:szCs w:val="21"/>
                <w:highlight w:val="none"/>
                <w:lang w:eastAsia="zh-CN"/>
              </w:rPr>
              <w:t>每天</w:t>
            </w:r>
            <w:r>
              <w:rPr>
                <w:rFonts w:hint="eastAsia" w:ascii="宋体" w:hAnsi="宋体" w:eastAsia="宋体" w:cs="宋体"/>
                <w:color w:val="auto"/>
                <w:szCs w:val="21"/>
                <w:highlight w:val="none"/>
              </w:rPr>
              <w:t>上午8时30分至12时00分，下午14时30分至17时30分</w:t>
            </w:r>
            <w:r>
              <w:rPr>
                <w:rFonts w:hint="eastAsia" w:ascii="宋体" w:hAnsi="宋体" w:eastAsia="宋体" w:cs="宋体"/>
                <w:color w:val="auto"/>
                <w:sz w:val="21"/>
                <w:szCs w:val="21"/>
                <w:highlight w:val="none"/>
              </w:rPr>
              <w:t>（北京时间，法定节假日除外）</w:t>
            </w:r>
            <w:r>
              <w:rPr>
                <w:rFonts w:hint="eastAsia" w:ascii="宋体" w:hAnsi="宋体" w:eastAsia="宋体" w:cs="宋体"/>
                <w:color w:val="auto"/>
                <w:sz w:val="21"/>
                <w:szCs w:val="21"/>
                <w:highlight w:val="none"/>
                <w:lang w:eastAsia="zh-CN"/>
              </w:rPr>
              <w:t>。</w:t>
            </w:r>
          </w:p>
          <w:p w14:paraId="1E5EE03F">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地点：</w:t>
            </w:r>
            <w:r>
              <w:rPr>
                <w:rFonts w:hint="eastAsia" w:ascii="宋体" w:hAnsi="宋体" w:eastAsia="宋体" w:cs="宋体"/>
                <w:color w:val="auto"/>
                <w:szCs w:val="21"/>
                <w:highlight w:val="none"/>
              </w:rPr>
              <w:t>广西众联工程项目管理有限公司财务部（南宁市江南区白沙大道53号松宇时代14A层）。</w:t>
            </w:r>
          </w:p>
          <w:p w14:paraId="132C997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方式：</w:t>
            </w:r>
            <w:r>
              <w:rPr>
                <w:rFonts w:hint="eastAsia" w:ascii="宋体" w:hAnsi="宋体" w:eastAsia="宋体" w:cs="宋体"/>
                <w:color w:val="auto"/>
                <w:szCs w:val="21"/>
                <w:highlight w:val="none"/>
              </w:rPr>
              <w:t>（可以采用以下方式之一获取</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文件）：①现场购买：供应商无需携带报名资料，到广西众联工程项目管理有限公司财务部获取</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文件，付款方式只接受现金付款或者微信付款、支付宝付款，不接受银行卡刷卡支付。②电子邮件方式：</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供应商需于招标文件获取时间内将法定代表人（企业负责人）或委托代理人本人身份证复印件、法定代表人（企业负责人）授权书原件（委托代理时）、招标文件工本费转帐底单（以上材料须加盖单位公章）扫描发邮件至348978712@qq.com邮箱，代理机构收到材料核验信息无误后，1个工作日内向供应商发送电子版招标文件。"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供应商需于</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文件获取时间内将文件工本费（只接受公对公转账，不接受私人账号转账，并备注项目编号）</w:t>
            </w:r>
            <w:r>
              <w:rPr>
                <w:rFonts w:hint="eastAsia" w:ascii="宋体" w:hAnsi="宋体" w:eastAsia="宋体" w:cs="宋体"/>
                <w:color w:val="auto"/>
                <w:szCs w:val="21"/>
                <w:highlight w:val="none"/>
                <w:lang w:eastAsia="zh-CN"/>
              </w:rPr>
              <w:t>转账</w:t>
            </w:r>
            <w:r>
              <w:rPr>
                <w:rFonts w:hint="eastAsia" w:ascii="宋体" w:hAnsi="宋体" w:eastAsia="宋体" w:cs="宋体"/>
                <w:color w:val="auto"/>
                <w:szCs w:val="21"/>
                <w:highlight w:val="none"/>
              </w:rPr>
              <w:t>底单（并附上项目名称、项目编号、收件人姓名、联系电话、收件地址、开票信息）扫描发邮件至</w:t>
            </w:r>
            <w:r>
              <w:rPr>
                <w:rFonts w:hint="eastAsia" w:ascii="宋体" w:hAnsi="宋体" w:eastAsia="宋体" w:cs="宋体"/>
                <w:color w:val="auto"/>
                <w:szCs w:val="21"/>
                <w:highlight w:val="none"/>
                <w:lang w:val="en-US" w:eastAsia="zh-CN"/>
              </w:rPr>
              <w:t>258838465</w:t>
            </w:r>
            <w:r>
              <w:rPr>
                <w:rFonts w:hint="eastAsia" w:ascii="宋体" w:hAnsi="宋体" w:eastAsia="宋体" w:cs="宋体"/>
                <w:color w:val="auto"/>
                <w:szCs w:val="21"/>
                <w:highlight w:val="none"/>
              </w:rPr>
              <w:t>@qq.com邮箱，代理机构查收后当日向供应商发送</w:t>
            </w:r>
            <w:r>
              <w:rPr>
                <w:rFonts w:hint="eastAsia" w:ascii="宋体" w:hAnsi="宋体" w:eastAsia="宋体" w:cs="宋体"/>
                <w:color w:val="auto"/>
                <w:szCs w:val="21"/>
                <w:highlight w:val="none"/>
                <w:lang w:eastAsia="zh-CN"/>
              </w:rPr>
              <w:t>获取文件登记表</w:t>
            </w:r>
            <w:r>
              <w:rPr>
                <w:rFonts w:hint="eastAsia" w:ascii="宋体" w:hAnsi="宋体" w:eastAsia="宋体" w:cs="宋体"/>
                <w:color w:val="auto"/>
                <w:szCs w:val="21"/>
                <w:highlight w:val="none"/>
              </w:rPr>
              <w:t>及电子版</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文件并办理纸质版</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文件邮寄（邮费到付）事宜</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（供应商未提供联系方式，</w:t>
            </w:r>
            <w:r>
              <w:rPr>
                <w:rFonts w:hint="eastAsia" w:ascii="宋体" w:hAnsi="宋体" w:eastAsia="宋体" w:cs="宋体"/>
                <w:color w:val="auto"/>
                <w:szCs w:val="21"/>
                <w:highlight w:val="none"/>
                <w:lang w:eastAsia="zh-CN"/>
              </w:rPr>
              <w:t>由</w:t>
            </w:r>
            <w:r>
              <w:rPr>
                <w:rFonts w:hint="eastAsia" w:ascii="宋体" w:hAnsi="宋体" w:eastAsia="宋体" w:cs="宋体"/>
                <w:color w:val="auto"/>
                <w:szCs w:val="21"/>
                <w:highlight w:val="none"/>
              </w:rPr>
              <w:t>此造成供应商无法按时获取纸质版</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文件的，责任由供应商承担）。</w:t>
            </w:r>
          </w:p>
          <w:p w14:paraId="59BE985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收款人户名：广西众联工程项目管理有限公司</w:t>
            </w:r>
          </w:p>
          <w:p w14:paraId="2BCA25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开户银行：中国光大银行股份有限公司南宁民主支行</w:t>
            </w:r>
          </w:p>
          <w:p w14:paraId="0E9AF193">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银行账号：78900188000167866</w:t>
            </w:r>
          </w:p>
        </w:tc>
      </w:tr>
      <w:tr w14:paraId="301D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3D469DD7">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859" w:type="dxa"/>
            <w:vAlign w:val="center"/>
          </w:tcPr>
          <w:p w14:paraId="6F50D76C">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现场考察</w:t>
            </w:r>
          </w:p>
        </w:tc>
        <w:tc>
          <w:tcPr>
            <w:tcW w:w="6183" w:type="dxa"/>
            <w:gridSpan w:val="2"/>
            <w:vAlign w:val="center"/>
          </w:tcPr>
          <w:p w14:paraId="3A1BCD42">
            <w:pPr>
              <w:numPr>
                <w:ilvl w:val="0"/>
                <w:numId w:val="0"/>
              </w:numPr>
              <w:tabs>
                <w:tab w:val="left" w:pos="0"/>
                <w:tab w:val="left" w:pos="420"/>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不组织现场考察</w:t>
            </w:r>
          </w:p>
          <w:p w14:paraId="3AB3B52C">
            <w:pPr>
              <w:numPr>
                <w:ilvl w:val="0"/>
                <w:numId w:val="0"/>
              </w:numPr>
              <w:tabs>
                <w:tab w:val="left" w:pos="0"/>
                <w:tab w:val="left" w:pos="420"/>
              </w:tabs>
              <w:adjustRightInd w:val="0"/>
              <w:snapToGrid w:val="0"/>
              <w:spacing w:after="0"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bCs/>
                <w:color w:val="auto"/>
                <w:sz w:val="21"/>
                <w:szCs w:val="21"/>
                <w:highlight w:val="none"/>
              </w:rPr>
              <w:t>组织现场考察：</w:t>
            </w:r>
          </w:p>
          <w:p w14:paraId="601C63A6">
            <w:pPr>
              <w:numPr>
                <w:ilvl w:val="0"/>
                <w:numId w:val="0"/>
              </w:numPr>
              <w:tabs>
                <w:tab w:val="left" w:pos="0"/>
                <w:tab w:val="left" w:pos="420"/>
              </w:tabs>
              <w:adjustRightInd w:val="0"/>
              <w:snapToGrid w:val="0"/>
              <w:spacing w:after="0" w:line="360" w:lineRule="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rPr>
              <w:t>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55A770C5">
            <w:pPr>
              <w:numPr>
                <w:ilvl w:val="0"/>
                <w:numId w:val="0"/>
              </w:numPr>
              <w:tabs>
                <w:tab w:val="left" w:pos="0"/>
                <w:tab w:val="left" w:pos="420"/>
              </w:tabs>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w:t>
            </w:r>
            <w:r>
              <w:rPr>
                <w:rFonts w:hint="eastAsia" w:ascii="宋体" w:hAnsi="宋体" w:eastAsia="宋体" w:cs="宋体"/>
                <w:b/>
                <w:color w:val="auto"/>
                <w:sz w:val="21"/>
                <w:szCs w:val="21"/>
                <w:highlight w:val="none"/>
                <w:u w:val="single"/>
              </w:rPr>
              <w:t xml:space="preserve">                 </w:t>
            </w:r>
          </w:p>
          <w:p w14:paraId="413EABC9">
            <w:pPr>
              <w:numPr>
                <w:ilvl w:val="0"/>
                <w:numId w:val="0"/>
              </w:numPr>
              <w:tabs>
                <w:tab w:val="left" w:pos="0"/>
                <w:tab w:val="left" w:pos="420"/>
              </w:tabs>
              <w:adjustRightInd w:val="0"/>
              <w:snapToGrid w:val="0"/>
              <w:spacing w:after="0" w:line="360" w:lineRule="auto"/>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联系人：</w:t>
            </w:r>
            <w:r>
              <w:rPr>
                <w:rFonts w:hint="eastAsia" w:ascii="宋体" w:hAnsi="宋体" w:eastAsia="宋体" w:cs="宋体"/>
                <w:b/>
                <w:color w:val="auto"/>
                <w:sz w:val="21"/>
                <w:szCs w:val="21"/>
                <w:highlight w:val="none"/>
                <w:u w:val="single"/>
              </w:rPr>
              <w:t xml:space="preserve">               </w:t>
            </w:r>
          </w:p>
          <w:p w14:paraId="24BCF7CD">
            <w:pPr>
              <w:numPr>
                <w:ilvl w:val="0"/>
                <w:numId w:val="0"/>
              </w:numPr>
              <w:tabs>
                <w:tab w:val="left" w:pos="0"/>
                <w:tab w:val="left" w:pos="420"/>
              </w:tabs>
              <w:adjustRightInd w:val="0"/>
              <w:snapToGrid w:val="0"/>
              <w:spacing w:after="0" w:line="360" w:lineRule="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14:paraId="52D1DFF3">
            <w:pPr>
              <w:numPr>
                <w:ilvl w:val="0"/>
                <w:numId w:val="0"/>
              </w:numPr>
              <w:tabs>
                <w:tab w:val="left" w:pos="0"/>
                <w:tab w:val="left" w:pos="420"/>
              </w:tabs>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r>
              <w:rPr>
                <w:rFonts w:hint="eastAsia" w:ascii="宋体" w:hAnsi="宋体" w:eastAsia="宋体" w:cs="宋体"/>
                <w:color w:val="auto"/>
                <w:sz w:val="21"/>
                <w:szCs w:val="21"/>
                <w:highlight w:val="none"/>
                <w:u w:val="single"/>
              </w:rPr>
              <w:t xml:space="preserve">                 </w:t>
            </w:r>
          </w:p>
        </w:tc>
      </w:tr>
      <w:tr w14:paraId="788B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15A7DDED">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859" w:type="dxa"/>
            <w:vAlign w:val="center"/>
          </w:tcPr>
          <w:p w14:paraId="1A5C57D4">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样品</w:t>
            </w:r>
          </w:p>
        </w:tc>
        <w:tc>
          <w:tcPr>
            <w:tcW w:w="6183" w:type="dxa"/>
            <w:gridSpan w:val="2"/>
            <w:vAlign w:val="center"/>
          </w:tcPr>
          <w:p w14:paraId="2A913E06">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14:paraId="46647D39">
            <w:pPr>
              <w:adjustRightInd w:val="0"/>
              <w:snapToGrid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bCs/>
                <w:color w:val="auto"/>
                <w:sz w:val="21"/>
                <w:szCs w:val="21"/>
                <w:highlight w:val="none"/>
              </w:rPr>
              <w:t>要求提供：</w:t>
            </w:r>
          </w:p>
          <w:p w14:paraId="39410F51">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1.样品制作的标准和要求：____________________</w:t>
            </w:r>
          </w:p>
          <w:p w14:paraId="3A04E526">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2.样品检测报告：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□否；□是，检测机构的要求、检测内容详见第六章项目采购需求</w:t>
            </w:r>
            <w:r>
              <w:rPr>
                <w:rFonts w:hint="eastAsia" w:ascii="宋体" w:hAnsi="宋体" w:eastAsia="宋体" w:cs="宋体"/>
                <w:color w:val="auto"/>
                <w:sz w:val="21"/>
                <w:szCs w:val="21"/>
                <w:highlight w:val="none"/>
                <w:lang w:eastAsia="zh-CN"/>
              </w:rPr>
              <w:t>）</w:t>
            </w:r>
          </w:p>
          <w:p w14:paraId="2FB0AA49">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3.样品的评审方法及评审标准：内容详见第三章评审办法及标准</w:t>
            </w:r>
          </w:p>
        </w:tc>
      </w:tr>
      <w:tr w14:paraId="5B56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14:paraId="3D99FD6C">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859" w:type="dxa"/>
            <w:vMerge w:val="restart"/>
            <w:vAlign w:val="center"/>
          </w:tcPr>
          <w:p w14:paraId="0B4EF126">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响应文件组成</w:t>
            </w:r>
          </w:p>
        </w:tc>
        <w:tc>
          <w:tcPr>
            <w:tcW w:w="976" w:type="dxa"/>
            <w:vMerge w:val="restart"/>
            <w:vAlign w:val="center"/>
          </w:tcPr>
          <w:p w14:paraId="26F808C8">
            <w:pPr>
              <w:topLinePunct/>
              <w:autoSpaceDE w:val="0"/>
              <w:autoSpaceDN w:val="0"/>
              <w:adjustRightInd w:val="0"/>
              <w:snapToGrid w:val="0"/>
              <w:spacing w:after="0"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商务部</w:t>
            </w:r>
            <w:r>
              <w:rPr>
                <w:rFonts w:hint="eastAsia" w:ascii="宋体" w:hAnsi="宋体" w:eastAsia="宋体" w:cs="宋体"/>
                <w:bCs/>
                <w:color w:val="auto"/>
                <w:sz w:val="21"/>
                <w:szCs w:val="21"/>
                <w:highlight w:val="none"/>
              </w:rPr>
              <w:t>分</w:t>
            </w:r>
          </w:p>
        </w:tc>
        <w:tc>
          <w:tcPr>
            <w:tcW w:w="5207" w:type="dxa"/>
            <w:vAlign w:val="center"/>
          </w:tcPr>
          <w:p w14:paraId="163AB03E">
            <w:pPr>
              <w:widowControl/>
              <w:tabs>
                <w:tab w:val="left" w:pos="0"/>
                <w:tab w:val="left" w:pos="420"/>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一、资格证明文件：</w:t>
            </w:r>
          </w:p>
          <w:p w14:paraId="5BE6664A">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1.★供应商基本情况</w:t>
            </w:r>
            <w:r>
              <w:rPr>
                <w:rFonts w:hint="eastAsia" w:ascii="宋体" w:hAnsi="宋体" w:eastAsia="宋体" w:cs="宋体"/>
                <w:color w:val="auto"/>
                <w:sz w:val="21"/>
                <w:szCs w:val="21"/>
                <w:highlight w:val="none"/>
                <w:lang w:eastAsia="zh-CN"/>
              </w:rPr>
              <w:t>（供应商属于</w:t>
            </w:r>
            <w:r>
              <w:rPr>
                <w:rFonts w:hint="eastAsia" w:ascii="宋体" w:hAnsi="宋体" w:eastAsia="宋体" w:cs="宋体"/>
                <w:color w:val="auto"/>
                <w:sz w:val="21"/>
                <w:szCs w:val="21"/>
                <w:highlight w:val="none"/>
              </w:rPr>
              <w:t>法人或者其他组织的</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营业执照等证明文件</w:t>
            </w:r>
            <w:r>
              <w:rPr>
                <w:rFonts w:hint="eastAsia" w:ascii="宋体" w:hAnsi="宋体" w:eastAsia="宋体" w:cs="宋体"/>
                <w:color w:val="auto"/>
                <w:sz w:val="21"/>
                <w:szCs w:val="21"/>
                <w:highlight w:val="none"/>
                <w:lang w:eastAsia="zh-CN"/>
              </w:rPr>
              <w:t>；供应商属于</w:t>
            </w:r>
            <w:r>
              <w:rPr>
                <w:rFonts w:hint="eastAsia" w:ascii="宋体" w:hAnsi="宋体" w:eastAsia="宋体" w:cs="宋体"/>
                <w:color w:val="auto"/>
                <w:sz w:val="21"/>
                <w:szCs w:val="21"/>
                <w:highlight w:val="none"/>
              </w:rPr>
              <w:t>自然人的</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身份证复印件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30B8B552">
            <w:pPr>
              <w:adjustRightInd w:val="0"/>
              <w:snapToGrid w:val="0"/>
              <w:spacing w:after="0"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有效的</w:t>
            </w:r>
            <w:r>
              <w:rPr>
                <w:rFonts w:hint="eastAsia" w:ascii="宋体" w:hAnsi="宋体" w:eastAsia="宋体" w:cs="宋体"/>
                <w:color w:val="auto"/>
                <w:sz w:val="21"/>
                <w:szCs w:val="21"/>
                <w:highlight w:val="none"/>
                <w:lang w:eastAsia="zh-CN"/>
              </w:rPr>
              <w:t>《食品经营许可证》</w:t>
            </w:r>
            <w:r>
              <w:rPr>
                <w:rFonts w:hint="eastAsia" w:ascii="宋体" w:hAnsi="宋体" w:cs="宋体"/>
                <w:color w:val="auto"/>
                <w:sz w:val="21"/>
                <w:szCs w:val="21"/>
                <w:highlight w:val="none"/>
                <w:lang w:eastAsia="zh-CN"/>
              </w:rPr>
              <w:t>（提供复印件）；</w:t>
            </w:r>
          </w:p>
          <w:p w14:paraId="123A4B2C">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.★财务状况报告：</w:t>
            </w:r>
            <w:r>
              <w:rPr>
                <w:rFonts w:hint="eastAsia" w:ascii="宋体" w:hAnsi="宋体" w:eastAsia="宋体" w:cs="宋体"/>
                <w:color w:val="auto"/>
                <w:highlight w:val="none"/>
              </w:rPr>
              <w:t>上一年度的</w:t>
            </w:r>
            <w:r>
              <w:rPr>
                <w:rFonts w:hint="eastAsia" w:ascii="宋体" w:hAnsi="宋体" w:eastAsia="宋体" w:cs="宋体"/>
                <w:color w:val="auto"/>
                <w:szCs w:val="21"/>
                <w:highlight w:val="none"/>
              </w:rPr>
              <w:t>经会计师事务所审计的财务报告（须上传加盖会计师事务所公章及注册会计师签章的扫描件）；没有经审计的财务报告的，可以提供基本开户银行出具的资信证明复印件；如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参加磋商</w:t>
            </w:r>
            <w:r>
              <w:rPr>
                <w:rFonts w:hint="eastAsia" w:ascii="宋体" w:hAnsi="宋体" w:eastAsia="宋体" w:cs="宋体"/>
                <w:color w:val="auto"/>
                <w:szCs w:val="21"/>
                <w:highlight w:val="none"/>
              </w:rPr>
              <w:t>当年新成立公司的，应提供于公司成立之日后的财务状况报告。其中，上述财务状况报告包括：</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执行《企业会计准则》的，提供资产负债表、利润表、现金流量表、所有者权益变动表及其附注（以下称“四表一注”）；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执行《小企业会计准则》的，提供资产负债表、利润表、现金流量表及其附注（以下称“三表一注”）；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执行《政府会计制度》的，提供资产负债表、收入费用表和净资产变动表及其附注</w:t>
            </w:r>
            <w:r>
              <w:rPr>
                <w:rFonts w:hint="eastAsia" w:ascii="宋体" w:hAnsi="宋体" w:eastAsia="宋体" w:cs="宋体"/>
                <w:color w:val="auto"/>
                <w:sz w:val="21"/>
                <w:szCs w:val="21"/>
                <w:highlight w:val="none"/>
              </w:rPr>
              <w:t>；</w:t>
            </w:r>
          </w:p>
          <w:p w14:paraId="07081110">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.★依法缴纳税收：</w:t>
            </w:r>
            <w:r>
              <w:rPr>
                <w:rFonts w:hint="eastAsia" w:ascii="宋体" w:hAnsi="宋体" w:eastAsia="宋体" w:cs="宋体"/>
                <w:color w:val="auto"/>
                <w:highlight w:val="none"/>
                <w:lang w:eastAsia="zh-CN"/>
              </w:rPr>
              <w:t>响应文件递交</w:t>
            </w:r>
            <w:r>
              <w:rPr>
                <w:rFonts w:hint="eastAsia" w:ascii="宋体" w:hAnsi="宋体" w:eastAsia="宋体" w:cs="宋体"/>
                <w:color w:val="auto"/>
                <w:highlight w:val="none"/>
              </w:rPr>
              <w:t>截止之日前半年内</w:t>
            </w:r>
            <w:r>
              <w:rPr>
                <w:rFonts w:hint="eastAsia" w:ascii="宋体" w:hAnsi="宋体" w:eastAsia="宋体" w:cs="宋体"/>
                <w:color w:val="auto"/>
                <w:szCs w:val="21"/>
                <w:highlight w:val="none"/>
                <w:lang w:eastAsia="zh-CN"/>
              </w:rPr>
              <w:t>供应商</w:t>
            </w:r>
            <w:r>
              <w:rPr>
                <w:rFonts w:hint="eastAsia" w:ascii="宋体" w:hAnsi="宋体" w:eastAsia="宋体" w:cs="宋体"/>
                <w:color w:val="auto"/>
                <w:highlight w:val="none"/>
              </w:rPr>
              <w:t>连续三个月的依法缴纳税收（不包括个人所得税）的相关材料，如依法免税或不需要纳税的，应提供相应证明材料复印件；</w:t>
            </w:r>
            <w:r>
              <w:rPr>
                <w:rFonts w:hint="eastAsia" w:ascii="宋体" w:hAnsi="宋体" w:eastAsia="宋体" w:cs="宋体"/>
                <w:color w:val="auto"/>
                <w:szCs w:val="21"/>
                <w:highlight w:val="none"/>
                <w:lang w:eastAsia="zh-CN"/>
              </w:rPr>
              <w:t>供应商</w:t>
            </w:r>
            <w:r>
              <w:rPr>
                <w:rFonts w:hint="eastAsia" w:ascii="宋体" w:hAnsi="宋体" w:eastAsia="宋体" w:cs="宋体"/>
                <w:color w:val="auto"/>
                <w:highlight w:val="none"/>
              </w:rPr>
              <w:t>无纳税记录或为新成立公司，应提供由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highlight w:val="none"/>
              </w:rPr>
              <w:t>所在地主管税务部门出具的《依法纳税或依法免税证明》（复印件）</w:t>
            </w:r>
            <w:r>
              <w:rPr>
                <w:rFonts w:hint="eastAsia" w:ascii="宋体" w:hAnsi="宋体" w:eastAsia="宋体" w:cs="宋体"/>
                <w:color w:val="auto"/>
                <w:sz w:val="21"/>
                <w:szCs w:val="21"/>
                <w:highlight w:val="none"/>
              </w:rPr>
              <w:t>；</w:t>
            </w:r>
          </w:p>
          <w:p w14:paraId="0D3A1110">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.★社会保障资金：</w:t>
            </w:r>
            <w:r>
              <w:rPr>
                <w:rFonts w:hint="eastAsia" w:ascii="宋体" w:hAnsi="宋体" w:eastAsia="宋体" w:cs="宋体"/>
                <w:color w:val="auto"/>
                <w:highlight w:val="none"/>
                <w:lang w:eastAsia="zh-CN"/>
              </w:rPr>
              <w:t>响应文件递交</w:t>
            </w:r>
            <w:r>
              <w:rPr>
                <w:rFonts w:hint="eastAsia" w:ascii="宋体" w:hAnsi="宋体" w:eastAsia="宋体" w:cs="宋体"/>
                <w:color w:val="auto"/>
                <w:highlight w:val="none"/>
              </w:rPr>
              <w:t>截止之日前半年内</w:t>
            </w:r>
            <w:r>
              <w:rPr>
                <w:rFonts w:hint="eastAsia" w:ascii="宋体" w:hAnsi="宋体" w:eastAsia="宋体" w:cs="宋体"/>
                <w:color w:val="auto"/>
                <w:szCs w:val="21"/>
                <w:highlight w:val="none"/>
                <w:lang w:eastAsia="zh-CN"/>
              </w:rPr>
              <w:t>供应商</w:t>
            </w:r>
            <w:r>
              <w:rPr>
                <w:rFonts w:hint="eastAsia" w:ascii="宋体" w:hAnsi="宋体" w:eastAsia="宋体" w:cs="宋体"/>
                <w:color w:val="auto"/>
                <w:highlight w:val="none"/>
              </w:rPr>
              <w:t>连续三个月的依法缴纳</w:t>
            </w:r>
            <w:r>
              <w:rPr>
                <w:rFonts w:hint="eastAsia" w:ascii="宋体" w:hAnsi="宋体" w:eastAsia="宋体" w:cs="宋体"/>
                <w:color w:val="auto"/>
                <w:szCs w:val="21"/>
                <w:highlight w:val="none"/>
              </w:rPr>
              <w:t>社会保障资金的相关材料，如依法不需要缴纳社会保障资金的，则应提供相应证明材料复印件；</w:t>
            </w:r>
            <w:r>
              <w:rPr>
                <w:rFonts w:hint="eastAsia" w:ascii="宋体" w:hAnsi="宋体" w:eastAsia="宋体" w:cs="宋体"/>
                <w:color w:val="auto"/>
                <w:szCs w:val="21"/>
                <w:highlight w:val="none"/>
                <w:lang w:eastAsia="zh-CN"/>
              </w:rPr>
              <w:t>供应商</w:t>
            </w:r>
            <w:r>
              <w:rPr>
                <w:rFonts w:hint="eastAsia" w:ascii="宋体" w:hAnsi="宋体" w:eastAsia="宋体" w:cs="宋体"/>
                <w:color w:val="auto"/>
                <w:highlight w:val="none"/>
              </w:rPr>
              <w:t>无缴费记录或为新成立公司，应提供由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highlight w:val="none"/>
              </w:rPr>
              <w:t>所在地社保部门出具的《依法缴纳或依法免缴社保费证明》（复印件）</w:t>
            </w:r>
            <w:r>
              <w:rPr>
                <w:rFonts w:hint="eastAsia" w:ascii="宋体" w:hAnsi="宋体" w:eastAsia="宋体" w:cs="宋体"/>
                <w:color w:val="auto"/>
                <w:sz w:val="21"/>
                <w:szCs w:val="21"/>
                <w:highlight w:val="none"/>
              </w:rPr>
              <w:t>；</w:t>
            </w:r>
          </w:p>
          <w:p w14:paraId="571B70F5">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6.★参加采购活动前3年内在经营活动中没有重大违法记录的书面声明；</w:t>
            </w:r>
          </w:p>
          <w:p w14:paraId="708F5E97">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7.★中小企业声明函（中小企业</w:t>
            </w:r>
            <w:r>
              <w:rPr>
                <w:rFonts w:hint="eastAsia" w:ascii="宋体" w:hAnsi="宋体" w:eastAsia="宋体" w:cs="宋体"/>
                <w:color w:val="auto"/>
                <w:sz w:val="21"/>
                <w:szCs w:val="21"/>
                <w:highlight w:val="none"/>
                <w:lang w:eastAsia="zh-CN"/>
              </w:rPr>
              <w:t>参加磋商</w:t>
            </w:r>
            <w:r>
              <w:rPr>
                <w:rFonts w:hint="eastAsia" w:ascii="宋体" w:hAnsi="宋体" w:eastAsia="宋体" w:cs="宋体"/>
                <w:color w:val="auto"/>
                <w:sz w:val="21"/>
                <w:szCs w:val="21"/>
                <w:highlight w:val="none"/>
              </w:rPr>
              <w:t>的，应按照《政府采购促进中小企业发展管理办法》（财库﹝2020﹞46 号印发）《关于印发中小企业划型标准规定的通知》 （工信部联企业〔2011〕300号）如实填写并提交此函）；监狱企业证明文件[监狱企业</w:t>
            </w:r>
            <w:r>
              <w:rPr>
                <w:rFonts w:hint="eastAsia" w:ascii="宋体" w:hAnsi="宋体" w:eastAsia="宋体" w:cs="宋体"/>
                <w:color w:val="auto"/>
                <w:sz w:val="21"/>
                <w:szCs w:val="21"/>
                <w:highlight w:val="none"/>
                <w:lang w:eastAsia="zh-CN"/>
              </w:rPr>
              <w:t>参加磋商</w:t>
            </w:r>
            <w:r>
              <w:rPr>
                <w:rFonts w:hint="eastAsia" w:ascii="宋体" w:hAnsi="宋体" w:eastAsia="宋体" w:cs="宋体"/>
                <w:color w:val="auto"/>
                <w:sz w:val="21"/>
                <w:szCs w:val="21"/>
                <w:highlight w:val="none"/>
              </w:rPr>
              <w:t>的，应提交省级以上监狱管理局、戒毒管理局（含新疆生产建设兵团）出具的证明文件</w:t>
            </w:r>
            <w:r>
              <w:rPr>
                <w:rFonts w:hint="eastAsia" w:ascii="宋体" w:hAnsi="宋体" w:eastAsia="宋体" w:cs="宋体"/>
                <w:color w:val="auto"/>
                <w:sz w:val="21"/>
                <w:szCs w:val="21"/>
                <w:highlight w:val="none"/>
                <w:lang w:val="en-US" w:eastAsia="zh-CN"/>
              </w:rPr>
              <w:t>复印件</w:t>
            </w:r>
            <w:r>
              <w:rPr>
                <w:rFonts w:hint="eastAsia" w:ascii="宋体" w:hAnsi="宋体" w:eastAsia="宋体" w:cs="宋体"/>
                <w:color w:val="auto"/>
                <w:sz w:val="21"/>
                <w:szCs w:val="21"/>
                <w:highlight w:val="none"/>
              </w:rPr>
              <w:t>]；残疾人福利性单位声明函（残疾人福利性单位</w:t>
            </w:r>
            <w:r>
              <w:rPr>
                <w:rFonts w:hint="eastAsia" w:ascii="宋体" w:hAnsi="宋体" w:eastAsia="宋体" w:cs="宋体"/>
                <w:color w:val="auto"/>
                <w:sz w:val="21"/>
                <w:szCs w:val="21"/>
                <w:highlight w:val="none"/>
                <w:lang w:eastAsia="zh-CN"/>
              </w:rPr>
              <w:t>参加磋商</w:t>
            </w:r>
            <w:r>
              <w:rPr>
                <w:rFonts w:hint="eastAsia" w:ascii="宋体" w:hAnsi="宋体" w:eastAsia="宋体" w:cs="宋体"/>
                <w:color w:val="auto"/>
                <w:sz w:val="21"/>
                <w:szCs w:val="21"/>
                <w:highlight w:val="none"/>
              </w:rPr>
              <w:t>的，应提交此函）</w:t>
            </w:r>
            <w:r>
              <w:rPr>
                <w:rFonts w:hint="eastAsia" w:ascii="宋体" w:hAnsi="宋体" w:eastAsia="宋体" w:cs="宋体"/>
                <w:color w:val="auto"/>
                <w:sz w:val="21"/>
                <w:szCs w:val="21"/>
                <w:highlight w:val="none"/>
                <w:lang w:eastAsia="zh-CN"/>
              </w:rPr>
              <w:t>；</w:t>
            </w:r>
          </w:p>
          <w:p w14:paraId="22F544E2">
            <w:pPr>
              <w:adjustRightInd w:val="0"/>
              <w:snapToGrid w:val="0"/>
              <w:spacing w:after="0" w:line="36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kern w:val="0"/>
                <w:szCs w:val="21"/>
                <w:highlight w:val="none"/>
              </w:rPr>
              <w:t>供应商认为需提供的其他</w:t>
            </w:r>
            <w:r>
              <w:rPr>
                <w:rFonts w:hint="eastAsia" w:ascii="宋体" w:hAnsi="宋体" w:eastAsia="宋体" w:cs="宋体"/>
                <w:color w:val="auto"/>
                <w:kern w:val="0"/>
                <w:szCs w:val="21"/>
                <w:highlight w:val="none"/>
                <w:lang w:eastAsia="zh-CN"/>
              </w:rPr>
              <w:t>资格证明</w:t>
            </w:r>
            <w:r>
              <w:rPr>
                <w:rFonts w:hint="eastAsia" w:ascii="宋体" w:hAnsi="宋体" w:eastAsia="宋体" w:cs="宋体"/>
                <w:color w:val="auto"/>
                <w:kern w:val="0"/>
                <w:szCs w:val="21"/>
                <w:highlight w:val="none"/>
              </w:rPr>
              <w:t>资料</w:t>
            </w:r>
            <w:r>
              <w:rPr>
                <w:rFonts w:hint="eastAsia" w:ascii="宋体" w:hAnsi="宋体" w:eastAsia="宋体" w:cs="宋体"/>
                <w:color w:val="auto"/>
                <w:kern w:val="0"/>
                <w:szCs w:val="21"/>
                <w:highlight w:val="none"/>
                <w:lang w:eastAsia="zh-CN"/>
              </w:rPr>
              <w:t>。</w:t>
            </w:r>
          </w:p>
        </w:tc>
      </w:tr>
      <w:tr w14:paraId="6E42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005B804E">
            <w:pPr>
              <w:adjustRightInd w:val="0"/>
              <w:snapToGrid w:val="0"/>
              <w:spacing w:after="0" w:line="360" w:lineRule="auto"/>
              <w:jc w:val="center"/>
              <w:rPr>
                <w:rFonts w:hint="eastAsia" w:ascii="宋体" w:hAnsi="宋体" w:eastAsia="宋体" w:cs="宋体"/>
                <w:b/>
                <w:color w:val="auto"/>
                <w:sz w:val="21"/>
                <w:szCs w:val="21"/>
                <w:highlight w:val="none"/>
              </w:rPr>
            </w:pPr>
          </w:p>
        </w:tc>
        <w:tc>
          <w:tcPr>
            <w:tcW w:w="1859" w:type="dxa"/>
            <w:vMerge w:val="continue"/>
            <w:vAlign w:val="center"/>
          </w:tcPr>
          <w:p w14:paraId="6DA763A1">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p>
        </w:tc>
        <w:tc>
          <w:tcPr>
            <w:tcW w:w="976" w:type="dxa"/>
            <w:vMerge w:val="continue"/>
            <w:vAlign w:val="center"/>
          </w:tcPr>
          <w:p w14:paraId="1A0638FF">
            <w:pPr>
              <w:topLinePunct/>
              <w:autoSpaceDE w:val="0"/>
              <w:autoSpaceDN w:val="0"/>
              <w:adjustRightInd w:val="0"/>
              <w:snapToGrid w:val="0"/>
              <w:spacing w:after="0" w:line="360" w:lineRule="auto"/>
              <w:rPr>
                <w:rFonts w:hint="eastAsia" w:ascii="宋体" w:hAnsi="宋体" w:eastAsia="宋体" w:cs="宋体"/>
                <w:b/>
                <w:bCs/>
                <w:color w:val="auto"/>
                <w:sz w:val="21"/>
                <w:szCs w:val="21"/>
                <w:highlight w:val="none"/>
              </w:rPr>
            </w:pPr>
          </w:p>
        </w:tc>
        <w:tc>
          <w:tcPr>
            <w:tcW w:w="5207" w:type="dxa"/>
            <w:vAlign w:val="center"/>
          </w:tcPr>
          <w:p w14:paraId="26DE30E3">
            <w:pPr>
              <w:adjustRightInd w:val="0"/>
              <w:snapToGrid w:val="0"/>
              <w:spacing w:after="0" w:line="36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color w:val="auto"/>
                <w:sz w:val="21"/>
                <w:szCs w:val="21"/>
                <w:highlight w:val="none"/>
              </w:rPr>
              <w:t>报价一览表</w:t>
            </w:r>
            <w:r>
              <w:rPr>
                <w:rFonts w:hint="eastAsia" w:ascii="宋体" w:hAnsi="宋体" w:eastAsia="宋体" w:cs="宋体"/>
                <w:b/>
                <w:bCs/>
                <w:color w:val="auto"/>
                <w:sz w:val="21"/>
                <w:szCs w:val="21"/>
                <w:highlight w:val="none"/>
              </w:rPr>
              <w:t>：</w:t>
            </w:r>
          </w:p>
          <w:p w14:paraId="60CC54ED">
            <w:pPr>
              <w:adjustRightInd w:val="0"/>
              <w:snapToGrid w:val="0"/>
              <w:spacing w:after="0" w:line="360" w:lineRule="auto"/>
              <w:jc w:val="left"/>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t>1.★磋商报价表；</w:t>
            </w:r>
          </w:p>
        </w:tc>
      </w:tr>
      <w:tr w14:paraId="09C6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57FF4C03">
            <w:pPr>
              <w:adjustRightInd w:val="0"/>
              <w:snapToGrid w:val="0"/>
              <w:spacing w:after="0" w:line="360" w:lineRule="auto"/>
              <w:jc w:val="center"/>
              <w:rPr>
                <w:rFonts w:hint="eastAsia" w:ascii="宋体" w:hAnsi="宋体" w:eastAsia="宋体" w:cs="宋体"/>
                <w:b/>
                <w:color w:val="auto"/>
                <w:sz w:val="21"/>
                <w:szCs w:val="21"/>
                <w:highlight w:val="none"/>
              </w:rPr>
            </w:pPr>
          </w:p>
        </w:tc>
        <w:tc>
          <w:tcPr>
            <w:tcW w:w="1859" w:type="dxa"/>
            <w:vMerge w:val="continue"/>
            <w:vAlign w:val="center"/>
          </w:tcPr>
          <w:p w14:paraId="7E4C69C1">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p>
        </w:tc>
        <w:tc>
          <w:tcPr>
            <w:tcW w:w="976" w:type="dxa"/>
            <w:vMerge w:val="continue"/>
            <w:vAlign w:val="center"/>
          </w:tcPr>
          <w:p w14:paraId="4682BC25">
            <w:pPr>
              <w:topLinePunct/>
              <w:autoSpaceDE w:val="0"/>
              <w:autoSpaceDN w:val="0"/>
              <w:adjustRightInd w:val="0"/>
              <w:snapToGrid w:val="0"/>
              <w:spacing w:after="0" w:line="360" w:lineRule="auto"/>
              <w:rPr>
                <w:rFonts w:hint="eastAsia" w:ascii="宋体" w:hAnsi="宋体" w:eastAsia="宋体" w:cs="宋体"/>
                <w:b/>
                <w:bCs/>
                <w:color w:val="auto"/>
                <w:sz w:val="21"/>
                <w:szCs w:val="21"/>
                <w:highlight w:val="none"/>
              </w:rPr>
            </w:pPr>
          </w:p>
        </w:tc>
        <w:tc>
          <w:tcPr>
            <w:tcW w:w="5207" w:type="dxa"/>
            <w:vAlign w:val="center"/>
          </w:tcPr>
          <w:p w14:paraId="0FCBA776">
            <w:pPr>
              <w:widowControl/>
              <w:shd w:val="clear" w:color="auto" w:fill="FFFFFF"/>
              <w:tabs>
                <w:tab w:val="left" w:pos="475"/>
                <w:tab w:val="left" w:pos="617"/>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三、其他文件及资料：</w:t>
            </w:r>
          </w:p>
          <w:p w14:paraId="36D0E555">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1.★授权委托书（</w:t>
            </w:r>
            <w:r>
              <w:rPr>
                <w:rFonts w:hint="eastAsia" w:ascii="宋体" w:hAnsi="宋体" w:eastAsia="宋体" w:cs="宋体"/>
                <w:i/>
                <w:color w:val="auto"/>
                <w:sz w:val="21"/>
                <w:szCs w:val="21"/>
                <w:highlight w:val="none"/>
              </w:rPr>
              <w:t>参考响应文件格式</w:t>
            </w:r>
            <w:r>
              <w:rPr>
                <w:rFonts w:hint="eastAsia" w:ascii="宋体" w:hAnsi="宋体" w:cs="宋体"/>
                <w:i/>
                <w:color w:val="auto"/>
                <w:sz w:val="21"/>
                <w:szCs w:val="21"/>
                <w:highlight w:val="none"/>
                <w:lang w:val="en-US" w:eastAsia="zh-CN"/>
              </w:rPr>
              <w:t>6</w:t>
            </w:r>
            <w:r>
              <w:rPr>
                <w:rFonts w:hint="eastAsia" w:ascii="宋体" w:hAnsi="宋体" w:eastAsia="宋体" w:cs="宋体"/>
                <w:color w:val="auto"/>
                <w:sz w:val="21"/>
                <w:szCs w:val="21"/>
                <w:highlight w:val="none"/>
              </w:rPr>
              <w:t>）；</w:t>
            </w:r>
          </w:p>
          <w:p w14:paraId="6E047CC9">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2.★磋商响应函（</w:t>
            </w:r>
            <w:r>
              <w:rPr>
                <w:rFonts w:hint="eastAsia" w:ascii="宋体" w:hAnsi="宋体" w:eastAsia="宋体" w:cs="宋体"/>
                <w:i/>
                <w:color w:val="auto"/>
                <w:sz w:val="21"/>
                <w:szCs w:val="21"/>
                <w:highlight w:val="none"/>
              </w:rPr>
              <w:t>参考响应文件格式</w:t>
            </w:r>
            <w:r>
              <w:rPr>
                <w:rFonts w:hint="eastAsia" w:ascii="宋体" w:hAnsi="宋体" w:cs="宋体"/>
                <w:i/>
                <w:color w:val="auto"/>
                <w:sz w:val="21"/>
                <w:szCs w:val="21"/>
                <w:highlight w:val="none"/>
                <w:lang w:val="en-US" w:eastAsia="zh-CN"/>
              </w:rPr>
              <w:t>7</w:t>
            </w:r>
            <w:r>
              <w:rPr>
                <w:rFonts w:hint="eastAsia" w:ascii="宋体" w:hAnsi="宋体" w:eastAsia="宋体" w:cs="宋体"/>
                <w:color w:val="auto"/>
                <w:sz w:val="21"/>
                <w:szCs w:val="21"/>
                <w:highlight w:val="none"/>
              </w:rPr>
              <w:t>）；</w:t>
            </w:r>
          </w:p>
          <w:p w14:paraId="0A742EAA">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3.★商务条款偏离表；</w:t>
            </w:r>
          </w:p>
          <w:p w14:paraId="0164CD5D">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4.★磋商保证金缴纳证明</w:t>
            </w:r>
            <w:r>
              <w:rPr>
                <w:rFonts w:hint="eastAsia" w:ascii="宋体" w:hAnsi="宋体" w:eastAsia="宋体" w:cs="宋体"/>
                <w:color w:val="auto"/>
                <w:szCs w:val="21"/>
                <w:highlight w:val="none"/>
              </w:rPr>
              <w:t>（如要求提交保证金的则必须提供，否则</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无效）</w:t>
            </w:r>
            <w:r>
              <w:rPr>
                <w:rFonts w:hint="eastAsia" w:ascii="宋体" w:hAnsi="宋体" w:eastAsia="宋体" w:cs="宋体"/>
                <w:color w:val="auto"/>
                <w:sz w:val="21"/>
                <w:szCs w:val="21"/>
                <w:highlight w:val="none"/>
                <w:lang w:eastAsia="zh-CN"/>
              </w:rPr>
              <w:t>；</w:t>
            </w:r>
          </w:p>
          <w:p w14:paraId="5F14B2FF">
            <w:pPr>
              <w:widowControl/>
              <w:tabs>
                <w:tab w:val="left" w:pos="0"/>
                <w:tab w:val="left" w:pos="220"/>
              </w:tabs>
              <w:adjustRightInd w:val="0"/>
              <w:snapToGrid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5.供应商认为需要提供</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说明和资料。</w:t>
            </w:r>
          </w:p>
        </w:tc>
      </w:tr>
      <w:tr w14:paraId="65E5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6AA4B03E">
            <w:pPr>
              <w:adjustRightInd w:val="0"/>
              <w:snapToGrid w:val="0"/>
              <w:spacing w:after="0" w:line="360" w:lineRule="auto"/>
              <w:jc w:val="center"/>
              <w:rPr>
                <w:rFonts w:hint="eastAsia" w:ascii="宋体" w:hAnsi="宋体" w:eastAsia="宋体" w:cs="宋体"/>
                <w:color w:val="auto"/>
                <w:sz w:val="21"/>
                <w:szCs w:val="21"/>
                <w:highlight w:val="none"/>
              </w:rPr>
            </w:pPr>
          </w:p>
        </w:tc>
        <w:tc>
          <w:tcPr>
            <w:tcW w:w="1859" w:type="dxa"/>
            <w:vMerge w:val="continue"/>
            <w:vAlign w:val="center"/>
          </w:tcPr>
          <w:p w14:paraId="36AB9F38">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p>
        </w:tc>
        <w:tc>
          <w:tcPr>
            <w:tcW w:w="976" w:type="dxa"/>
            <w:vAlign w:val="center"/>
          </w:tcPr>
          <w:p w14:paraId="771F0F0F">
            <w:pPr>
              <w:topLinePunct/>
              <w:autoSpaceDE w:val="0"/>
              <w:autoSpaceDN w:val="0"/>
              <w:adjustRightInd w:val="0"/>
              <w:snapToGrid w:val="0"/>
              <w:spacing w:after="0" w:line="360" w:lineRule="auto"/>
              <w:jc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技术部分</w:t>
            </w:r>
          </w:p>
        </w:tc>
        <w:tc>
          <w:tcPr>
            <w:tcW w:w="5207" w:type="dxa"/>
            <w:vAlign w:val="center"/>
          </w:tcPr>
          <w:p w14:paraId="53371746">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1.★技术条款偏离表；</w:t>
            </w:r>
          </w:p>
          <w:p w14:paraId="727F6CB5">
            <w:pPr>
              <w:adjustRightInd w:val="0"/>
              <w:snapToGrid w:val="0"/>
              <w:spacing w:after="0" w:line="36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val="0"/>
                <w:bCs w:val="0"/>
                <w:color w:val="auto"/>
                <w:spacing w:val="8"/>
                <w:sz w:val="21"/>
                <w:szCs w:val="21"/>
                <w:highlight w:val="none"/>
                <w:lang w:val="en-US" w:eastAsia="zh-CN"/>
              </w:rPr>
              <w:t>服务方案</w:t>
            </w:r>
            <w:r>
              <w:rPr>
                <w:rFonts w:hint="eastAsia" w:ascii="宋体" w:hAnsi="宋体" w:eastAsia="宋体" w:cs="宋体"/>
                <w:color w:val="auto"/>
                <w:sz w:val="21"/>
                <w:szCs w:val="21"/>
                <w:highlight w:val="none"/>
              </w:rPr>
              <w:t>；</w:t>
            </w:r>
          </w:p>
          <w:p w14:paraId="2F2B6417">
            <w:pPr>
              <w:adjustRightInd w:val="0"/>
              <w:snapToGrid w:val="0"/>
              <w:spacing w:after="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pacing w:val="8"/>
                <w:sz w:val="21"/>
                <w:szCs w:val="21"/>
                <w:highlight w:val="none"/>
                <w:lang w:val="en-US" w:eastAsia="zh-CN"/>
              </w:rPr>
              <w:t>服务承诺</w:t>
            </w:r>
            <w:r>
              <w:rPr>
                <w:rFonts w:hint="eastAsia" w:ascii="宋体" w:hAnsi="宋体" w:eastAsia="宋体" w:cs="宋体"/>
                <w:color w:val="auto"/>
                <w:sz w:val="21"/>
                <w:szCs w:val="21"/>
                <w:highlight w:val="none"/>
                <w:lang w:eastAsia="zh-CN"/>
              </w:rPr>
              <w:t>；</w:t>
            </w:r>
          </w:p>
          <w:p w14:paraId="7BA962C3">
            <w:pPr>
              <w:adjustRightInd w:val="0"/>
              <w:snapToGrid w:val="0"/>
              <w:spacing w:after="0"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4.拟投入服务人员一览表及项目负责人简历表</w:t>
            </w:r>
            <w:r>
              <w:rPr>
                <w:rFonts w:hint="eastAsia" w:ascii="宋体" w:hAnsi="宋体" w:eastAsia="宋体" w:cs="宋体"/>
                <w:color w:val="auto"/>
                <w:sz w:val="21"/>
                <w:szCs w:val="21"/>
                <w:highlight w:val="none"/>
                <w:lang w:val="zh-CN" w:eastAsia="zh-CN"/>
              </w:rPr>
              <w:t>；</w:t>
            </w:r>
          </w:p>
          <w:p w14:paraId="2B668703">
            <w:pPr>
              <w:widowControl/>
              <w:tabs>
                <w:tab w:val="left" w:pos="0"/>
                <w:tab w:val="left" w:pos="220"/>
              </w:tabs>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供应商认为需要提供</w:t>
            </w:r>
            <w:r>
              <w:rPr>
                <w:rFonts w:hint="eastAsia" w:ascii="宋体" w:hAnsi="宋体" w:eastAsia="宋体" w:cs="宋体"/>
                <w:color w:val="auto"/>
                <w:sz w:val="21"/>
                <w:szCs w:val="21"/>
                <w:highlight w:val="none"/>
                <w:lang w:eastAsia="zh-CN"/>
              </w:rPr>
              <w:t>的其他</w:t>
            </w:r>
            <w:r>
              <w:rPr>
                <w:rFonts w:hint="eastAsia" w:ascii="宋体" w:hAnsi="宋体" w:eastAsia="宋体" w:cs="宋体"/>
                <w:color w:val="auto"/>
                <w:sz w:val="21"/>
                <w:szCs w:val="21"/>
                <w:highlight w:val="none"/>
              </w:rPr>
              <w:t>说明和资料。</w:t>
            </w:r>
          </w:p>
        </w:tc>
      </w:tr>
      <w:tr w14:paraId="30B0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21DE1AEB">
            <w:pPr>
              <w:adjustRightInd w:val="0"/>
              <w:snapToGrid w:val="0"/>
              <w:spacing w:after="0" w:line="360" w:lineRule="auto"/>
              <w:jc w:val="center"/>
              <w:rPr>
                <w:rFonts w:hint="eastAsia" w:ascii="宋体" w:hAnsi="宋体" w:eastAsia="宋体" w:cs="宋体"/>
                <w:b/>
                <w:color w:val="auto"/>
                <w:sz w:val="21"/>
                <w:szCs w:val="21"/>
                <w:highlight w:val="none"/>
              </w:rPr>
            </w:pPr>
          </w:p>
        </w:tc>
        <w:tc>
          <w:tcPr>
            <w:tcW w:w="1859" w:type="dxa"/>
            <w:vMerge w:val="continue"/>
            <w:vAlign w:val="center"/>
          </w:tcPr>
          <w:p w14:paraId="2C296D0B">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p>
        </w:tc>
        <w:tc>
          <w:tcPr>
            <w:tcW w:w="6183" w:type="dxa"/>
            <w:gridSpan w:val="2"/>
            <w:vAlign w:val="center"/>
          </w:tcPr>
          <w:p w14:paraId="77527D32">
            <w:pPr>
              <w:adjustRightInd w:val="0"/>
              <w:snapToGrid w:val="0"/>
              <w:spacing w:after="0"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1.以上带★的文件及资料未提供或提供的无效，则响应无效。</w:t>
            </w:r>
          </w:p>
          <w:p w14:paraId="6E4147B9">
            <w:pPr>
              <w:numPr>
                <w:ilvl w:val="0"/>
                <w:numId w:val="0"/>
              </w:numPr>
              <w:topLinePunct/>
              <w:autoSpaceDE w:val="0"/>
              <w:autoSpaceDN w:val="0"/>
              <w:adjustRightInd w:val="0"/>
              <w:snapToGrid w:val="0"/>
              <w:spacing w:after="0" w:line="360" w:lineRule="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b/>
                <w:color w:val="auto"/>
                <w:kern w:val="2"/>
                <w:sz w:val="21"/>
                <w:szCs w:val="21"/>
                <w:highlight w:val="none"/>
                <w:lang w:val="en-US" w:eastAsia="zh-CN" w:bidi="ar-SA"/>
              </w:rPr>
              <w:t>以上带★的文件，必须加盖供应商公章，否则</w:t>
            </w:r>
            <w:r>
              <w:rPr>
                <w:rFonts w:hint="eastAsia" w:ascii="宋体" w:hAnsi="宋体" w:eastAsia="宋体" w:cs="宋体"/>
                <w:b/>
                <w:color w:val="auto"/>
                <w:sz w:val="21"/>
                <w:szCs w:val="21"/>
                <w:highlight w:val="none"/>
              </w:rPr>
              <w:t>响应无效</w:t>
            </w:r>
            <w:r>
              <w:rPr>
                <w:rFonts w:hint="eastAsia" w:ascii="宋体" w:hAnsi="宋体" w:eastAsia="宋体" w:cs="宋体"/>
                <w:b/>
                <w:color w:val="auto"/>
                <w:sz w:val="21"/>
                <w:szCs w:val="21"/>
                <w:highlight w:val="none"/>
                <w:u w:val="none"/>
              </w:rPr>
              <w:t>。</w:t>
            </w:r>
          </w:p>
        </w:tc>
      </w:tr>
      <w:tr w14:paraId="1803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355D9815">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859" w:type="dxa"/>
            <w:vAlign w:val="center"/>
          </w:tcPr>
          <w:p w14:paraId="7806BC13">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磋商响应有效期</w:t>
            </w:r>
          </w:p>
        </w:tc>
        <w:tc>
          <w:tcPr>
            <w:tcW w:w="6183" w:type="dxa"/>
            <w:gridSpan w:val="2"/>
            <w:vAlign w:val="center"/>
          </w:tcPr>
          <w:p w14:paraId="789BB522">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从提交响应文件的截止之日起计算</w:t>
            </w:r>
            <w:r>
              <w:rPr>
                <w:rFonts w:hint="eastAsia" w:ascii="宋体" w:hAnsi="宋体" w:eastAsia="宋体" w:cs="宋体"/>
                <w:color w:val="auto"/>
                <w:sz w:val="21"/>
                <w:szCs w:val="21"/>
                <w:highlight w:val="none"/>
                <w:u w:val="single"/>
                <w:lang w:val="en-US" w:eastAsia="zh-CN"/>
              </w:rPr>
              <w:t>90</w:t>
            </w:r>
            <w:r>
              <w:rPr>
                <w:rFonts w:hint="eastAsia" w:ascii="宋体" w:hAnsi="宋体" w:eastAsia="宋体" w:cs="宋体"/>
                <w:color w:val="auto"/>
                <w:sz w:val="21"/>
                <w:szCs w:val="21"/>
                <w:highlight w:val="none"/>
              </w:rPr>
              <w:t>日历日。</w:t>
            </w:r>
          </w:p>
        </w:tc>
      </w:tr>
      <w:tr w14:paraId="65B4B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523E4283">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859" w:type="dxa"/>
            <w:vAlign w:val="center"/>
          </w:tcPr>
          <w:p w14:paraId="1A294B99">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提交响应文件方式、截止时间、地点</w:t>
            </w:r>
          </w:p>
        </w:tc>
        <w:tc>
          <w:tcPr>
            <w:tcW w:w="6183" w:type="dxa"/>
            <w:gridSpan w:val="2"/>
            <w:vAlign w:val="center"/>
          </w:tcPr>
          <w:p w14:paraId="1F0E0029">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提交方式：</w:t>
            </w:r>
            <w:r>
              <w:rPr>
                <w:rFonts w:hint="eastAsia" w:ascii="宋体" w:hAnsi="宋体" w:eastAsia="宋体" w:cs="宋体"/>
                <w:color w:val="auto"/>
                <w:sz w:val="21"/>
                <w:szCs w:val="21"/>
                <w:highlight w:val="none"/>
                <w:u w:val="single"/>
              </w:rPr>
              <w:t>纸质文件提交</w:t>
            </w:r>
          </w:p>
          <w:p w14:paraId="5E03E5DA">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提交响应文件截止时间：</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bCs/>
                <w:color w:val="auto"/>
                <w:sz w:val="21"/>
                <w:szCs w:val="21"/>
                <w:highlight w:val="none"/>
              </w:rPr>
              <w:t>日</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rPr>
              <w:t>（北京时间）</w:t>
            </w:r>
          </w:p>
          <w:p w14:paraId="59038A46">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地点：</w:t>
            </w:r>
            <w:r>
              <w:rPr>
                <w:rFonts w:hint="eastAsia" w:ascii="宋体" w:hAnsi="宋体" w:eastAsia="宋体" w:cs="宋体"/>
                <w:color w:val="auto"/>
                <w:sz w:val="21"/>
                <w:szCs w:val="21"/>
                <w:highlight w:val="none"/>
              </w:rPr>
              <w:t>广西众联工程项目管理有限公司</w:t>
            </w:r>
            <w:r>
              <w:rPr>
                <w:rFonts w:hint="eastAsia" w:ascii="宋体" w:hAnsi="宋体" w:eastAsia="宋体" w:cs="宋体"/>
                <w:color w:val="auto"/>
                <w:sz w:val="21"/>
                <w:szCs w:val="21"/>
                <w:highlight w:val="none"/>
                <w:lang w:eastAsia="zh-CN"/>
              </w:rPr>
              <w:t>钦州分公司</w:t>
            </w:r>
            <w:r>
              <w:rPr>
                <w:rFonts w:hint="eastAsia" w:ascii="宋体" w:hAnsi="宋体" w:eastAsia="宋体" w:cs="宋体"/>
                <w:color w:val="auto"/>
                <w:sz w:val="21"/>
                <w:szCs w:val="21"/>
                <w:highlight w:val="none"/>
              </w:rPr>
              <w:t>开标厅（</w:t>
            </w:r>
            <w:r>
              <w:rPr>
                <w:rFonts w:hint="eastAsia" w:ascii="宋体" w:hAnsi="宋体" w:eastAsia="宋体" w:cs="宋体"/>
                <w:color w:val="auto"/>
                <w:sz w:val="21"/>
                <w:szCs w:val="21"/>
                <w:highlight w:val="none"/>
                <w:lang w:eastAsia="zh-CN"/>
              </w:rPr>
              <w:t>钦州市钦北区下勒路大岭村安置小区40号大众牛杂后面</w:t>
            </w:r>
            <w:r>
              <w:rPr>
                <w:rFonts w:hint="eastAsia" w:ascii="宋体" w:hAnsi="宋体" w:eastAsia="宋体" w:cs="宋体"/>
                <w:color w:val="auto"/>
                <w:sz w:val="21"/>
                <w:szCs w:val="21"/>
                <w:highlight w:val="none"/>
              </w:rPr>
              <w:t>）</w:t>
            </w:r>
          </w:p>
          <w:p w14:paraId="04E35D34">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联系电话：</w:t>
            </w:r>
            <w:r>
              <w:rPr>
                <w:rFonts w:hint="eastAsia" w:ascii="宋体" w:hAnsi="宋体" w:eastAsia="宋体" w:cs="宋体"/>
                <w:b w:val="0"/>
                <w:bCs/>
                <w:color w:val="auto"/>
                <w:sz w:val="21"/>
                <w:szCs w:val="21"/>
                <w:highlight w:val="none"/>
                <w:u w:val="single"/>
                <w:lang w:val="en-US" w:eastAsia="zh-CN"/>
              </w:rPr>
              <w:t>0771-4308370</w:t>
            </w:r>
          </w:p>
        </w:tc>
      </w:tr>
      <w:tr w14:paraId="36FA1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703BDE51">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59" w:type="dxa"/>
            <w:vAlign w:val="center"/>
          </w:tcPr>
          <w:p w14:paraId="54AFC84B">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响应文件开启时间和地点</w:t>
            </w:r>
          </w:p>
        </w:tc>
        <w:tc>
          <w:tcPr>
            <w:tcW w:w="6183" w:type="dxa"/>
            <w:gridSpan w:val="2"/>
            <w:vAlign w:val="center"/>
          </w:tcPr>
          <w:p w14:paraId="0BA14BCC">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bCs/>
                <w:color w:val="auto"/>
                <w:sz w:val="21"/>
                <w:szCs w:val="21"/>
                <w:highlight w:val="none"/>
              </w:rPr>
              <w:t>月</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bCs/>
                <w:color w:val="auto"/>
                <w:sz w:val="21"/>
                <w:szCs w:val="21"/>
                <w:highlight w:val="none"/>
              </w:rPr>
              <w:t>日</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none"/>
                <w:lang w:val="en-US" w:eastAsia="zh-CN"/>
              </w:rPr>
              <w:t>时</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none"/>
                <w:lang w:val="en-US" w:eastAsia="zh-CN"/>
              </w:rPr>
              <w:t>分</w:t>
            </w:r>
            <w:r>
              <w:rPr>
                <w:rFonts w:hint="eastAsia" w:ascii="宋体" w:hAnsi="宋体" w:eastAsia="宋体" w:cs="宋体"/>
                <w:color w:val="auto"/>
                <w:sz w:val="21"/>
                <w:szCs w:val="21"/>
                <w:highlight w:val="none"/>
              </w:rPr>
              <w:t>（北京时间）</w:t>
            </w:r>
          </w:p>
          <w:p w14:paraId="77A5B585">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地点：</w:t>
            </w:r>
            <w:r>
              <w:rPr>
                <w:rFonts w:hint="eastAsia" w:ascii="宋体" w:hAnsi="宋体" w:eastAsia="宋体" w:cs="宋体"/>
                <w:color w:val="auto"/>
                <w:sz w:val="21"/>
                <w:szCs w:val="21"/>
                <w:highlight w:val="none"/>
              </w:rPr>
              <w:t>广西众联工程项目管理有限公司</w:t>
            </w:r>
            <w:r>
              <w:rPr>
                <w:rFonts w:hint="eastAsia" w:ascii="宋体" w:hAnsi="宋体" w:eastAsia="宋体" w:cs="宋体"/>
                <w:color w:val="auto"/>
                <w:sz w:val="21"/>
                <w:szCs w:val="21"/>
                <w:highlight w:val="none"/>
                <w:lang w:eastAsia="zh-CN"/>
              </w:rPr>
              <w:t>钦州分公司</w:t>
            </w:r>
            <w:r>
              <w:rPr>
                <w:rFonts w:hint="eastAsia" w:ascii="宋体" w:hAnsi="宋体" w:cs="宋体"/>
                <w:color w:val="auto"/>
                <w:sz w:val="21"/>
                <w:szCs w:val="21"/>
                <w:highlight w:val="none"/>
                <w:lang w:eastAsia="zh-CN"/>
              </w:rPr>
              <w:t>评标室</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钦州市钦北区下勒路大岭村安置小区40号大众牛杂后面</w:t>
            </w:r>
            <w:r>
              <w:rPr>
                <w:rFonts w:hint="eastAsia" w:ascii="宋体" w:hAnsi="宋体" w:eastAsia="宋体" w:cs="宋体"/>
                <w:color w:val="auto"/>
                <w:sz w:val="21"/>
                <w:szCs w:val="21"/>
                <w:highlight w:val="none"/>
              </w:rPr>
              <w:t>）</w:t>
            </w:r>
          </w:p>
        </w:tc>
      </w:tr>
      <w:tr w14:paraId="38CC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2542D3C0">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859" w:type="dxa"/>
            <w:vAlign w:val="center"/>
          </w:tcPr>
          <w:p w14:paraId="78AEC3AF">
            <w:pPr>
              <w:tabs>
                <w:tab w:val="left" w:pos="1875"/>
              </w:tabs>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磋商保证金</w:t>
            </w:r>
          </w:p>
        </w:tc>
        <w:tc>
          <w:tcPr>
            <w:tcW w:w="6183" w:type="dxa"/>
            <w:gridSpan w:val="2"/>
            <w:vAlign w:val="center"/>
          </w:tcPr>
          <w:p w14:paraId="4FA9E183">
            <w:pPr>
              <w:topLinePunct/>
              <w:autoSpaceDE w:val="0"/>
              <w:autoSpaceDN w:val="0"/>
              <w:adjustRightInd w:val="0"/>
              <w:snapToGrid w:val="0"/>
              <w:spacing w:after="0" w:line="360" w:lineRule="auto"/>
              <w:rPr>
                <w:rFonts w:hint="eastAsia" w:ascii="宋体" w:hAnsi="宋体" w:eastAsia="宋体" w:cs="宋体"/>
                <w:snapToGrid w:val="0"/>
                <w:color w:val="auto"/>
                <w:sz w:val="21"/>
                <w:szCs w:val="21"/>
                <w:highlight w:val="none"/>
                <w:lang w:val="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不要求提供</w:t>
            </w:r>
          </w:p>
          <w:p w14:paraId="0FD69E7A">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要求提供：</w:t>
            </w:r>
          </w:p>
          <w:p w14:paraId="736A6464">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（1）金额：</w:t>
            </w:r>
          </w:p>
          <w:p w14:paraId="47BC0602">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14:paraId="57AE908D">
            <w:pPr>
              <w:topLinePunct/>
              <w:autoSpaceDE w:val="0"/>
              <w:autoSpaceDN w:val="0"/>
              <w:adjustRightInd w:val="0"/>
              <w:snapToGrid w:val="0"/>
              <w:spacing w:after="0" w:line="360" w:lineRule="auto"/>
              <w:rPr>
                <w:rFonts w:hint="eastAsia" w:ascii="宋体" w:hAnsi="宋体" w:eastAsia="宋体" w:cs="宋体"/>
                <w:color w:val="auto"/>
                <w:highlight w:val="none"/>
              </w:rPr>
            </w:pPr>
            <w:r>
              <w:rPr>
                <w:rFonts w:hint="eastAsia" w:ascii="宋体" w:hAnsi="宋体" w:eastAsia="宋体" w:cs="宋体"/>
                <w:color w:val="auto"/>
                <w:sz w:val="21"/>
                <w:szCs w:val="21"/>
                <w:highlight w:val="none"/>
              </w:rPr>
              <w:t>（2）提交方式：</w:t>
            </w:r>
            <w:r>
              <w:rPr>
                <w:rFonts w:hint="eastAsia" w:ascii="宋体" w:hAnsi="宋体" w:eastAsia="宋体" w:cs="宋体"/>
                <w:color w:val="auto"/>
                <w:highlight w:val="none"/>
              </w:rPr>
              <w:t>银行转账、支票、汇票、本票或者金融、担保机构出具的保函，禁止采用现钞方式。采用银行转账方式的，在</w:t>
            </w:r>
            <w:r>
              <w:rPr>
                <w:rFonts w:hint="eastAsia" w:ascii="宋体" w:hAnsi="宋体" w:eastAsia="宋体" w:cs="宋体"/>
                <w:color w:val="auto"/>
                <w:highlight w:val="none"/>
                <w:lang w:eastAsia="zh-CN"/>
              </w:rPr>
              <w:t>响应文件递交</w:t>
            </w:r>
            <w:r>
              <w:rPr>
                <w:rFonts w:hint="eastAsia" w:ascii="宋体" w:hAnsi="宋体" w:eastAsia="宋体" w:cs="宋体"/>
                <w:color w:val="auto"/>
                <w:highlight w:val="none"/>
              </w:rPr>
              <w:t>截止时间前交至采购人或采购代理机构指定账户并且到账；采用支票、汇票、本票或者保函等方式的，在</w:t>
            </w:r>
            <w:r>
              <w:rPr>
                <w:rFonts w:hint="eastAsia" w:ascii="宋体" w:hAnsi="宋体" w:eastAsia="宋体" w:cs="宋体"/>
                <w:color w:val="auto"/>
                <w:highlight w:val="none"/>
                <w:lang w:eastAsia="zh-CN"/>
              </w:rPr>
              <w:t>响应文件递交</w:t>
            </w:r>
            <w:r>
              <w:rPr>
                <w:rFonts w:hint="eastAsia" w:ascii="宋体" w:hAnsi="宋体" w:eastAsia="宋体" w:cs="宋体"/>
                <w:color w:val="auto"/>
                <w:highlight w:val="none"/>
              </w:rPr>
              <w:t>截止时间前，</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必须递交单独密封的支票、汇票、本票或者保函原件。否则视为无效保证金。</w:t>
            </w:r>
          </w:p>
          <w:p w14:paraId="6B7111F1">
            <w:pPr>
              <w:topLinePunct/>
              <w:autoSpaceDE w:val="0"/>
              <w:autoSpaceDN w:val="0"/>
              <w:adjustRightInd w:val="0"/>
              <w:snapToGrid w:val="0"/>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收款人户名：广西众联工程项目管理有限公司</w:t>
            </w:r>
          </w:p>
          <w:p w14:paraId="5378DC4F">
            <w:pPr>
              <w:topLinePunct/>
              <w:autoSpaceDE w:val="0"/>
              <w:autoSpaceDN w:val="0"/>
              <w:adjustRightInd w:val="0"/>
              <w:snapToGrid w:val="0"/>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开户银行：中国光大银行股份有限公司南宁民主支行</w:t>
            </w:r>
          </w:p>
          <w:p w14:paraId="74F08064">
            <w:pPr>
              <w:topLinePunct/>
              <w:autoSpaceDE w:val="0"/>
              <w:autoSpaceDN w:val="0"/>
              <w:adjustRightInd w:val="0"/>
              <w:snapToGrid w:val="0"/>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银行账号：78900188000167866</w:t>
            </w:r>
          </w:p>
          <w:p w14:paraId="1373B707">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color w:val="auto"/>
                <w:highlight w:val="none"/>
              </w:rPr>
              <w:t>注：以电汇方式递交保证金须在电汇凭据附言栏中写明采购编号、包号及用途（</w:t>
            </w:r>
            <w:r>
              <w:rPr>
                <w:rFonts w:hint="eastAsia" w:ascii="宋体" w:hAnsi="宋体" w:eastAsia="宋体" w:cs="宋体"/>
                <w:color w:val="auto"/>
                <w:sz w:val="21"/>
                <w:szCs w:val="21"/>
                <w:highlight w:val="none"/>
              </w:rPr>
              <w:t>磋商</w:t>
            </w:r>
            <w:r>
              <w:rPr>
                <w:rFonts w:hint="eastAsia" w:ascii="宋体" w:hAnsi="宋体" w:eastAsia="宋体" w:cs="宋体"/>
                <w:color w:val="auto"/>
                <w:highlight w:val="none"/>
              </w:rPr>
              <w:t>保证金）。</w:t>
            </w:r>
          </w:p>
        </w:tc>
      </w:tr>
      <w:tr w14:paraId="0560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03B2792F">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859" w:type="dxa"/>
            <w:vAlign w:val="center"/>
          </w:tcPr>
          <w:p w14:paraId="6C6DF54D">
            <w:pPr>
              <w:tabs>
                <w:tab w:val="left" w:pos="1875"/>
              </w:tabs>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不予退还磋商保证金的情形</w:t>
            </w:r>
          </w:p>
        </w:tc>
        <w:tc>
          <w:tcPr>
            <w:tcW w:w="6183" w:type="dxa"/>
            <w:gridSpan w:val="2"/>
            <w:vAlign w:val="center"/>
          </w:tcPr>
          <w:p w14:paraId="578B49D8">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有下列情形之一的，磋商保证金将不予退还：</w:t>
            </w:r>
          </w:p>
          <w:p w14:paraId="425E1568">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（1）供应商在提交响应文件截止时间后撤回响应文件的；</w:t>
            </w:r>
          </w:p>
          <w:p w14:paraId="5AD6AD0C">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（2）供应商在响应文件中提供虚假材料的；</w:t>
            </w:r>
          </w:p>
          <w:p w14:paraId="3E71B431">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（3）除因不可抗力或磋商文件认可的情形以外，成交供应商不与采购人签订合同的；</w:t>
            </w:r>
          </w:p>
          <w:p w14:paraId="70AD4032">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（4）供应商与采购人、其他供应商或者采购代理机构恶意串通的； </w:t>
            </w:r>
          </w:p>
          <w:p w14:paraId="355D59D7">
            <w:pPr>
              <w:topLinePunct/>
              <w:autoSpaceDE w:val="0"/>
              <w:autoSpaceDN w:val="0"/>
              <w:adjustRightInd w:val="0"/>
              <w:snapToGrid w:val="0"/>
              <w:spacing w:after="0"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（5）其他不予退还磋商保证金的情形：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p>
        </w:tc>
      </w:tr>
      <w:tr w14:paraId="4086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595B0B4D">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859" w:type="dxa"/>
            <w:vAlign w:val="center"/>
          </w:tcPr>
          <w:p w14:paraId="2FE1AADE">
            <w:pPr>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信用记录审查</w:t>
            </w:r>
          </w:p>
        </w:tc>
        <w:tc>
          <w:tcPr>
            <w:tcW w:w="6183" w:type="dxa"/>
            <w:gridSpan w:val="2"/>
            <w:vAlign w:val="center"/>
          </w:tcPr>
          <w:p w14:paraId="31667ACA">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根据《财政部关于在政府采购活动中查询及使用信用记录有关问题的通知》（财库〔2016〕125号）规定，磋商小组将通过“信用中国”网站（www.creditchina.gov.cn）、中国政府采购网（</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"http://www.ccgp.gov.cn"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www.ccgp.gov.cn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对供应商截止到提交响应文件截止时间的信用记录进行审查，对列入失信被执行人、重大税收违法案件当事人名单、政府采购严重违法失信行为记录名单及其他不符合《中华人民共和国政府采购法》第二十二条规定条件的供应商，其磋商响应将被拒绝。</w:t>
            </w:r>
          </w:p>
          <w:p w14:paraId="76B83F85">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本次查询的信用记录仅限于本项目使用，查询结果将留存在采购档案中。</w:t>
            </w:r>
          </w:p>
          <w:p w14:paraId="5F32A3D2">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在上述指定网站不能查询信用信息的供应商，应提供相关证明材料（原件加盖公章）。</w:t>
            </w:r>
          </w:p>
        </w:tc>
      </w:tr>
      <w:tr w14:paraId="5FAB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20F9AE9B">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859" w:type="dxa"/>
            <w:vAlign w:val="center"/>
          </w:tcPr>
          <w:p w14:paraId="61BC460B">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支持中小型</w:t>
            </w:r>
          </w:p>
          <w:p w14:paraId="08FF14FA">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企业发展</w:t>
            </w:r>
          </w:p>
        </w:tc>
        <w:tc>
          <w:tcPr>
            <w:tcW w:w="6183" w:type="dxa"/>
            <w:gridSpan w:val="2"/>
            <w:vAlign w:val="center"/>
          </w:tcPr>
          <w:p w14:paraId="3473760B">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根据《政府采购促进中小型企业发展管理办法》（财库〔2020〕46号），鼓励中小企业参加本项目采购活动。</w:t>
            </w:r>
          </w:p>
          <w:p w14:paraId="48BDE045">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在货物采购项目中，</w:t>
            </w:r>
            <w:r>
              <w:rPr>
                <w:rFonts w:hint="eastAsia" w:ascii="宋体" w:hAnsi="宋体" w:eastAsia="宋体" w:cs="宋体"/>
                <w:color w:val="auto"/>
                <w:sz w:val="21"/>
                <w:szCs w:val="21"/>
                <w:highlight w:val="none"/>
              </w:rPr>
              <w:t>满足所有标的均由中小企业制造，即所有标的均由中小企业生产且使用该中小企业商号或者注册商标的，可享受中小企业扶持政策。</w:t>
            </w:r>
          </w:p>
          <w:p w14:paraId="2AB35983">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在服务采购项目中，</w:t>
            </w:r>
            <w:r>
              <w:rPr>
                <w:rFonts w:hint="eastAsia" w:ascii="宋体" w:hAnsi="宋体" w:eastAsia="宋体" w:cs="宋体"/>
                <w:color w:val="auto"/>
                <w:sz w:val="21"/>
                <w:szCs w:val="21"/>
                <w:highlight w:val="none"/>
              </w:rPr>
              <w:t>满足服务由中小企业承接，即提供服务的人员为中小企业依照《中华人民共和国劳动合同法》订立劳动合同的从业人员的，可享受中小企业扶持政策。</w:t>
            </w:r>
          </w:p>
          <w:p w14:paraId="1827CF79">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在工程采购项目中，</w:t>
            </w:r>
            <w:r>
              <w:rPr>
                <w:rFonts w:hint="eastAsia" w:ascii="宋体" w:hAnsi="宋体" w:eastAsia="宋体" w:cs="宋体"/>
                <w:color w:val="auto"/>
                <w:sz w:val="21"/>
                <w:szCs w:val="21"/>
                <w:highlight w:val="none"/>
              </w:rPr>
              <w:t>满足工程由中小企业承建，即工程施工单位为中小企业，可享受中小企业扶持政策。</w:t>
            </w:r>
          </w:p>
          <w:p w14:paraId="1FB7D6D6">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p>
          <w:p w14:paraId="1252347F">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专门面向中小企业采购项目。</w:t>
            </w:r>
          </w:p>
          <w:p w14:paraId="1DF39080">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□预留份额面向中小企业采购项目（说明：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16E9D7D">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F0A3"/>
            </w:r>
            <w:r>
              <w:rPr>
                <w:rFonts w:hint="eastAsia" w:ascii="宋体" w:hAnsi="宋体" w:eastAsia="宋体" w:cs="宋体"/>
                <w:color w:val="auto"/>
                <w:sz w:val="21"/>
                <w:szCs w:val="21"/>
                <w:highlight w:val="none"/>
              </w:rPr>
              <w:t>非专门面向中小企业采购项目。对小型和微型企业的报价给予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%的扣除，用扣除后的价格参与评审。</w:t>
            </w:r>
          </w:p>
        </w:tc>
      </w:tr>
      <w:tr w14:paraId="2CFA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 w:type="dxa"/>
            <w:vAlign w:val="center"/>
          </w:tcPr>
          <w:p w14:paraId="4DF2C387">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859" w:type="dxa"/>
            <w:vAlign w:val="center"/>
          </w:tcPr>
          <w:p w14:paraId="6552387C">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支持监狱企业发展</w:t>
            </w:r>
          </w:p>
        </w:tc>
        <w:tc>
          <w:tcPr>
            <w:tcW w:w="6183" w:type="dxa"/>
            <w:gridSpan w:val="2"/>
            <w:vAlign w:val="center"/>
          </w:tcPr>
          <w:p w14:paraId="33AB25AE">
            <w:pPr>
              <w:adjustRightInd w:val="0"/>
              <w:snapToGrid w:val="0"/>
              <w:spacing w:after="0" w:line="360" w:lineRule="auto"/>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根据《关于政府采购支持监狱企业发展有关问题的通知》（财库〔2014〕68号），监狱企业视同小型、微型企业，按照</w:t>
            </w:r>
            <w:r>
              <w:rPr>
                <w:rFonts w:hint="eastAsia" w:ascii="宋体" w:hAnsi="宋体" w:eastAsia="宋体" w:cs="宋体"/>
                <w:b/>
                <w:bCs/>
                <w:color w:val="auto"/>
                <w:sz w:val="21"/>
                <w:szCs w:val="21"/>
                <w:highlight w:val="none"/>
              </w:rPr>
              <w:t>供应商须知前附表第25项</w:t>
            </w:r>
            <w:r>
              <w:rPr>
                <w:rFonts w:hint="eastAsia" w:ascii="宋体" w:hAnsi="宋体" w:eastAsia="宋体" w:cs="宋体"/>
                <w:color w:val="auto"/>
                <w:sz w:val="21"/>
                <w:szCs w:val="21"/>
                <w:highlight w:val="none"/>
              </w:rPr>
              <w:t>享受价格扣除政策。</w:t>
            </w:r>
          </w:p>
        </w:tc>
      </w:tr>
      <w:tr w14:paraId="53E9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10645303">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859" w:type="dxa"/>
            <w:vAlign w:val="center"/>
          </w:tcPr>
          <w:p w14:paraId="414047D8">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促进残疾人</w:t>
            </w:r>
          </w:p>
          <w:p w14:paraId="41CFC4EF">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就业</w:t>
            </w:r>
          </w:p>
        </w:tc>
        <w:tc>
          <w:tcPr>
            <w:tcW w:w="6183" w:type="dxa"/>
            <w:gridSpan w:val="2"/>
            <w:vAlign w:val="center"/>
          </w:tcPr>
          <w:p w14:paraId="0C889ECF">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根据《关于促进残疾人就业政府采购政策的通知》（财库〔2017〕141号），残疾人福利性单位视同小型、微型企业，按照</w:t>
            </w:r>
            <w:r>
              <w:rPr>
                <w:rFonts w:hint="eastAsia" w:ascii="宋体" w:hAnsi="宋体" w:eastAsia="宋体" w:cs="宋体"/>
                <w:b/>
                <w:bCs/>
                <w:color w:val="auto"/>
                <w:sz w:val="21"/>
                <w:szCs w:val="21"/>
                <w:highlight w:val="none"/>
              </w:rPr>
              <w:t>供应商须知前附表第25项</w:t>
            </w:r>
            <w:r>
              <w:rPr>
                <w:rFonts w:hint="eastAsia" w:ascii="宋体" w:hAnsi="宋体" w:eastAsia="宋体" w:cs="宋体"/>
                <w:color w:val="auto"/>
                <w:sz w:val="21"/>
                <w:szCs w:val="21"/>
                <w:highlight w:val="none"/>
              </w:rPr>
              <w:t>享受价格扣除政策。</w:t>
            </w:r>
          </w:p>
        </w:tc>
      </w:tr>
      <w:tr w14:paraId="1554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restart"/>
            <w:vAlign w:val="center"/>
          </w:tcPr>
          <w:p w14:paraId="60C1E897">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859" w:type="dxa"/>
            <w:vMerge w:val="restart"/>
            <w:vAlign w:val="center"/>
          </w:tcPr>
          <w:p w14:paraId="7F638BFB">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其他法律法规强制性规定或扶持政策</w:t>
            </w:r>
          </w:p>
        </w:tc>
        <w:tc>
          <w:tcPr>
            <w:tcW w:w="6183" w:type="dxa"/>
            <w:gridSpan w:val="2"/>
            <w:vAlign w:val="center"/>
          </w:tcPr>
          <w:p w14:paraId="6A347B2F">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本项目中强制采购节能产品的货物名称：</w:t>
            </w:r>
          </w:p>
          <w:p w14:paraId="41A2C198">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7D278FA">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注：供应商所投上述产品必须具有节能产品认证证书，并提供依据国家确定的认证机构出具的、处于有效期之内的节能产品认证证书复印件，否则响应无效。</w:t>
            </w:r>
          </w:p>
        </w:tc>
      </w:tr>
      <w:tr w14:paraId="16A0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0081B5F7">
            <w:pPr>
              <w:topLinePunct/>
              <w:autoSpaceDE w:val="0"/>
              <w:autoSpaceDN w:val="0"/>
              <w:adjustRightInd w:val="0"/>
              <w:snapToGrid w:val="0"/>
              <w:spacing w:before="62" w:after="62" w:line="360" w:lineRule="auto"/>
              <w:jc w:val="center"/>
              <w:rPr>
                <w:rFonts w:hint="eastAsia" w:ascii="宋体" w:hAnsi="宋体" w:eastAsia="宋体" w:cs="宋体"/>
                <w:color w:val="auto"/>
                <w:sz w:val="21"/>
                <w:szCs w:val="21"/>
                <w:highlight w:val="none"/>
              </w:rPr>
            </w:pPr>
          </w:p>
        </w:tc>
        <w:tc>
          <w:tcPr>
            <w:tcW w:w="1859" w:type="dxa"/>
            <w:vMerge w:val="continue"/>
            <w:vAlign w:val="center"/>
          </w:tcPr>
          <w:p w14:paraId="705E1B1B">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p>
        </w:tc>
        <w:tc>
          <w:tcPr>
            <w:tcW w:w="6183" w:type="dxa"/>
            <w:gridSpan w:val="2"/>
            <w:vAlign w:val="center"/>
          </w:tcPr>
          <w:p w14:paraId="1DEC07F4">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本项目中采购信息安全产品的货物名称：</w:t>
            </w:r>
          </w:p>
          <w:p w14:paraId="19D189CA">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C72E3A3">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注：供应商所投上述</w:t>
            </w:r>
            <w:r>
              <w:rPr>
                <w:rFonts w:hint="eastAsia" w:ascii="宋体" w:hAnsi="宋体" w:eastAsia="宋体" w:cs="宋体"/>
                <w:color w:val="auto"/>
                <w:sz w:val="21"/>
                <w:szCs w:val="21"/>
                <w:highlight w:val="none"/>
                <w:lang w:eastAsia="zh-CN"/>
              </w:rPr>
              <w:t>产品须为国家</w:t>
            </w:r>
            <w:r>
              <w:rPr>
                <w:rFonts w:hint="eastAsia" w:ascii="宋体" w:hAnsi="宋体" w:eastAsia="宋体" w:cs="宋体"/>
                <w:color w:val="auto"/>
                <w:sz w:val="21"/>
                <w:szCs w:val="21"/>
                <w:highlight w:val="none"/>
              </w:rPr>
              <w:t>认证的信息安全产品，并提供由中国网络安全审查技术与认证中心（原中国信息安全认证中心）按国家标准认证颁发的有效认证证书复印件，否则响应无效。</w:t>
            </w:r>
          </w:p>
        </w:tc>
      </w:tr>
      <w:tr w14:paraId="3C18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Merge w:val="continue"/>
            <w:vAlign w:val="center"/>
          </w:tcPr>
          <w:p w14:paraId="562C6173">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p>
        </w:tc>
        <w:tc>
          <w:tcPr>
            <w:tcW w:w="1859" w:type="dxa"/>
            <w:vMerge w:val="continue"/>
            <w:vAlign w:val="center"/>
          </w:tcPr>
          <w:p w14:paraId="43DDE4D6">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p>
        </w:tc>
        <w:tc>
          <w:tcPr>
            <w:tcW w:w="6183" w:type="dxa"/>
            <w:gridSpan w:val="2"/>
            <w:vAlign w:val="center"/>
          </w:tcPr>
          <w:p w14:paraId="42F30C3D">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其他法律法规强制性规定或扶持政策：</w:t>
            </w:r>
          </w:p>
          <w:p w14:paraId="68A721C3">
            <w:pPr>
              <w:topLinePunct/>
              <w:autoSpaceDE w:val="0"/>
              <w:autoSpaceDN w:val="0"/>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6AF5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6CF7CEFD">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859" w:type="dxa"/>
            <w:vAlign w:val="center"/>
          </w:tcPr>
          <w:p w14:paraId="1D15DBFA">
            <w:pPr>
              <w:tabs>
                <w:tab w:val="left" w:pos="1875"/>
              </w:tabs>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评审方法及分值</w:t>
            </w:r>
          </w:p>
        </w:tc>
        <w:tc>
          <w:tcPr>
            <w:tcW w:w="6183" w:type="dxa"/>
            <w:gridSpan w:val="2"/>
            <w:vAlign w:val="center"/>
          </w:tcPr>
          <w:p w14:paraId="53919077">
            <w:pPr>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文件商务部分第三章。</w:t>
            </w:r>
          </w:p>
        </w:tc>
      </w:tr>
      <w:tr w14:paraId="3370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583A5A7C">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859" w:type="dxa"/>
            <w:vAlign w:val="center"/>
          </w:tcPr>
          <w:p w14:paraId="7BF292CD">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履约保证金</w:t>
            </w:r>
          </w:p>
        </w:tc>
        <w:tc>
          <w:tcPr>
            <w:tcW w:w="6183" w:type="dxa"/>
            <w:gridSpan w:val="2"/>
            <w:vAlign w:val="center"/>
          </w:tcPr>
          <w:p w14:paraId="1BB7AE41">
            <w:pPr>
              <w:topLinePunct/>
              <w:autoSpaceDE w:val="0"/>
              <w:autoSpaceDN w:val="0"/>
              <w:adjustRightInd w:val="0"/>
              <w:snapToGrid w:val="0"/>
              <w:spacing w:after="0"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不要求提供</w:t>
            </w:r>
          </w:p>
          <w:p w14:paraId="50697732">
            <w:pPr>
              <w:topLinePunct/>
              <w:autoSpaceDE w:val="0"/>
              <w:autoSpaceDN w:val="0"/>
              <w:adjustRightInd w:val="0"/>
              <w:snapToGrid w:val="0"/>
              <w:spacing w:after="0"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本采购项目履约保证金为合同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合同总金额＝本项目预算金额</w:t>
            </w:r>
            <w:r>
              <w:rPr>
                <w:rFonts w:hint="default" w:ascii="Arial" w:hAnsi="Arial" w:cs="Arial"/>
                <w:color w:val="auto"/>
                <w:sz w:val="21"/>
                <w:szCs w:val="21"/>
                <w:highlight w:val="none"/>
                <w:lang w:eastAsia="zh-CN"/>
              </w:rPr>
              <w:t>×</w:t>
            </w:r>
            <w:r>
              <w:rPr>
                <w:rFonts w:hint="eastAsia" w:ascii="Arial" w:hAnsi="Arial" w:cs="Arial"/>
                <w:color w:val="auto"/>
                <w:sz w:val="21"/>
                <w:szCs w:val="21"/>
                <w:highlight w:val="none"/>
                <w:lang w:eastAsia="zh-CN"/>
              </w:rPr>
              <w:t>（</w:t>
            </w:r>
            <w:r>
              <w:rPr>
                <w:rFonts w:hint="eastAsia" w:ascii="宋体" w:hAnsi="宋体" w:cs="宋体"/>
                <w:color w:val="auto"/>
                <w:sz w:val="21"/>
                <w:szCs w:val="21"/>
                <w:highlight w:val="none"/>
                <w:lang w:val="en-US" w:eastAsia="zh-CN"/>
              </w:rPr>
              <w:t>1-成交下浮系数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lang w:val="en-US" w:eastAsia="zh-CN"/>
              </w:rPr>
              <w:t xml:space="preserve"> 2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，提交方式为银行电汇、金融机构或担保机构出具的保函。</w:t>
            </w:r>
          </w:p>
        </w:tc>
      </w:tr>
      <w:tr w14:paraId="05F8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68EC3A83">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859" w:type="dxa"/>
            <w:vAlign w:val="center"/>
          </w:tcPr>
          <w:p w14:paraId="6727F844">
            <w:pPr>
              <w:topLinePunct/>
              <w:autoSpaceDE w:val="0"/>
              <w:autoSpaceDN w:val="0"/>
              <w:adjustRightInd w:val="0"/>
              <w:snapToGrid w:val="0"/>
              <w:spacing w:after="0" w:line="36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接收质疑的方式、部门、电话和通讯地址</w:t>
            </w:r>
          </w:p>
        </w:tc>
        <w:tc>
          <w:tcPr>
            <w:tcW w:w="6183" w:type="dxa"/>
            <w:gridSpan w:val="2"/>
            <w:vAlign w:val="center"/>
          </w:tcPr>
          <w:p w14:paraId="34590FA7">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p>
          <w:p w14:paraId="162882CE">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（1）接收质疑函的方式：</w:t>
            </w:r>
            <w:r>
              <w:rPr>
                <w:rFonts w:hint="eastAsia" w:ascii="宋体" w:hAnsi="宋体" w:eastAsia="宋体" w:cs="宋体"/>
                <w:color w:val="auto"/>
                <w:sz w:val="21"/>
                <w:szCs w:val="21"/>
                <w:highlight w:val="none"/>
                <w:u w:val="single"/>
                <w:lang w:val="en-US" w:eastAsia="zh-CN"/>
              </w:rPr>
              <w:t>纸质方式</w:t>
            </w:r>
          </w:p>
          <w:p w14:paraId="55357376">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（2）联系部门：</w:t>
            </w:r>
            <w:r>
              <w:rPr>
                <w:rFonts w:hint="eastAsia" w:ascii="宋体" w:hAnsi="宋体" w:eastAsia="宋体" w:cs="宋体"/>
                <w:color w:val="auto"/>
                <w:sz w:val="21"/>
                <w:szCs w:val="21"/>
                <w:highlight w:val="none"/>
                <w:u w:val="single"/>
                <w:lang w:val="en-US" w:eastAsia="zh-CN"/>
              </w:rPr>
              <w:t>广西众联工程项目管理有限公司招标代理部</w:t>
            </w:r>
          </w:p>
          <w:p w14:paraId="10CA69C6">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（3）联系电话：</w:t>
            </w:r>
            <w:r>
              <w:rPr>
                <w:rFonts w:hint="eastAsia" w:ascii="宋体" w:hAnsi="宋体" w:eastAsia="宋体" w:cs="宋体"/>
                <w:color w:val="auto"/>
                <w:sz w:val="21"/>
                <w:szCs w:val="21"/>
                <w:highlight w:val="none"/>
                <w:u w:val="single"/>
                <w:lang w:val="en-US" w:eastAsia="zh-CN"/>
              </w:rPr>
              <w:t>0771-4308370</w:t>
            </w:r>
          </w:p>
          <w:p w14:paraId="35640FD3">
            <w:pPr>
              <w:spacing w:after="0"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（4）通讯地址：</w:t>
            </w:r>
            <w:r>
              <w:rPr>
                <w:rFonts w:hint="eastAsia" w:ascii="宋体" w:hAnsi="宋体" w:eastAsia="宋体" w:cs="宋体"/>
                <w:color w:val="auto"/>
                <w:sz w:val="21"/>
                <w:szCs w:val="21"/>
                <w:highlight w:val="none"/>
                <w:u w:val="single"/>
              </w:rPr>
              <w:t>南宁市江南区白沙大道53号松宇时代14A层</w:t>
            </w:r>
          </w:p>
          <w:p w14:paraId="17480583">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（5）电子邮箱：</w:t>
            </w:r>
            <w:r>
              <w:rPr>
                <w:rFonts w:hint="eastAsia" w:ascii="宋体" w:hAnsi="宋体" w:eastAsia="宋体" w:cs="宋体"/>
                <w:color w:val="auto"/>
                <w:sz w:val="21"/>
                <w:szCs w:val="21"/>
                <w:highlight w:val="none"/>
                <w:u w:val="single"/>
                <w:lang w:val="en-US" w:eastAsia="zh-CN"/>
              </w:rPr>
              <w:t>258838465@qq.com</w:t>
            </w:r>
          </w:p>
        </w:tc>
      </w:tr>
      <w:tr w14:paraId="1CC5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560941C1">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859" w:type="dxa"/>
            <w:vAlign w:val="center"/>
          </w:tcPr>
          <w:p w14:paraId="5AE9EDC6">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需提交的响应文件份数</w:t>
            </w:r>
          </w:p>
        </w:tc>
        <w:tc>
          <w:tcPr>
            <w:tcW w:w="6183" w:type="dxa"/>
            <w:gridSpan w:val="2"/>
            <w:vAlign w:val="center"/>
          </w:tcPr>
          <w:p w14:paraId="785989B3">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需提交的响应文件份数：</w:t>
            </w:r>
          </w:p>
          <w:p w14:paraId="44C786D0">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43373B11">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（2）电子文件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扫描件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Word）。</w:t>
            </w:r>
          </w:p>
          <w:p w14:paraId="60EA2FAA">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采用光盘或U盘提交。</w:t>
            </w:r>
          </w:p>
        </w:tc>
      </w:tr>
      <w:tr w14:paraId="1C9A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5DDB3188">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859" w:type="dxa"/>
            <w:vAlign w:val="center"/>
          </w:tcPr>
          <w:p w14:paraId="7F696260">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tc>
        <w:tc>
          <w:tcPr>
            <w:tcW w:w="6183" w:type="dxa"/>
            <w:gridSpan w:val="2"/>
            <w:vAlign w:val="center"/>
          </w:tcPr>
          <w:p w14:paraId="4958CA78">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代理费用：</w:t>
            </w:r>
          </w:p>
          <w:p w14:paraId="4C5F3D89">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（1）本项目代理费用由</w:t>
            </w:r>
            <w:r>
              <w:rPr>
                <w:rFonts w:hint="eastAsia" w:ascii="宋体" w:hAnsi="宋体" w:eastAsia="宋体" w:cs="宋体"/>
                <w:color w:val="auto"/>
                <w:sz w:val="21"/>
                <w:szCs w:val="21"/>
                <w:highlight w:val="none"/>
                <w:u w:val="single"/>
              </w:rPr>
              <w:t>成交供应商</w:t>
            </w:r>
            <w:r>
              <w:rPr>
                <w:rFonts w:hint="eastAsia" w:ascii="宋体" w:hAnsi="宋体" w:eastAsia="宋体" w:cs="宋体"/>
                <w:color w:val="auto"/>
                <w:sz w:val="21"/>
                <w:szCs w:val="21"/>
                <w:highlight w:val="none"/>
              </w:rPr>
              <w:t>支付。</w:t>
            </w:r>
          </w:p>
          <w:p w14:paraId="794CAA3B">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（2）代理费用收取方式及标准：</w:t>
            </w:r>
          </w:p>
          <w:p w14:paraId="0A56B5B1">
            <w:pPr>
              <w:spacing w:line="360" w:lineRule="auto"/>
              <w:ind w:firstLine="0" w:firstLineChars="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rPr>
              <w:t>采购包1：</w:t>
            </w:r>
            <w:r>
              <w:rPr>
                <w:rFonts w:hint="eastAsia" w:ascii="宋体" w:hAnsi="宋体" w:eastAsia="宋体" w:cs="宋体"/>
                <w:color w:val="auto"/>
                <w:szCs w:val="21"/>
                <w:highlight w:val="none"/>
              </w:rPr>
              <w:t>在国家发展计划委员会《招标代理服务费管理暂行办法》（计价格〔2002〕1980号）、《国家发改委关于降低部分建设项目收费标准规范收费行为等有关问题的通知》（发改价格〔2011〕534号）规定的采购代理服务费标准费率基础上，</w:t>
            </w:r>
            <w:r>
              <w:rPr>
                <w:rFonts w:hint="eastAsia" w:ascii="宋体" w:hAnsi="宋体" w:eastAsia="宋体" w:cs="宋体"/>
                <w:color w:val="auto"/>
                <w:szCs w:val="21"/>
                <w:highlight w:val="none"/>
                <w:lang w:val="zh-CN"/>
              </w:rPr>
              <w:t>下浮</w:t>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%执行。即：</w:t>
            </w:r>
          </w:p>
          <w:p w14:paraId="40B187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全区税务系统代理费用=采购代理标准费用×（1-30%）。</w:t>
            </w:r>
          </w:p>
          <w:p w14:paraId="72C2CF8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采购代理服务费标准费率（未下浮30%）：</w:t>
            </w:r>
          </w:p>
          <w:tbl>
            <w:tblPr>
              <w:tblStyle w:val="15"/>
              <w:tblpPr w:leftFromText="180" w:rightFromText="180" w:vertAnchor="text" w:horzAnchor="page" w:tblpX="166" w:tblpY="74"/>
              <w:tblOverlap w:val="never"/>
              <w:tblW w:w="5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1077"/>
              <w:gridCol w:w="1148"/>
              <w:gridCol w:w="1034"/>
            </w:tblGrid>
            <w:tr w14:paraId="3755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19" w:type="dxa"/>
                  <w:tcBorders>
                    <w:tl2br w:val="single" w:color="auto" w:sz="4" w:space="0"/>
                  </w:tcBorders>
                  <w:vAlign w:val="top"/>
                </w:tcPr>
                <w:p w14:paraId="702343E7">
                  <w:pPr>
                    <w:ind w:left="1365" w:hanging="1365" w:hangingChars="650"/>
                    <w:rPr>
                      <w:rFonts w:hint="eastAsia" w:ascii="宋体" w:hAnsi="宋体" w:eastAsia="宋体" w:cs="宋体"/>
                      <w:color w:val="auto"/>
                      <w:highlight w:val="none"/>
                    </w:rPr>
                  </w:pPr>
                  <w:r>
                    <w:rPr>
                      <w:rFonts w:hint="eastAsia" w:ascii="宋体" w:hAnsi="宋体" w:eastAsia="宋体" w:cs="宋体"/>
                      <w:color w:val="auto"/>
                      <w:highlight w:val="none"/>
                    </w:rPr>
                    <w:t xml:space="preserve">            费率</w:t>
                  </w:r>
                </w:p>
                <w:p w14:paraId="1110D9CF">
                  <w:pPr>
                    <w:rPr>
                      <w:rFonts w:hint="eastAsia" w:ascii="宋体" w:hAnsi="宋体" w:eastAsia="宋体" w:cs="宋体"/>
                      <w:color w:val="auto"/>
                      <w:highlight w:val="none"/>
                    </w:rPr>
                  </w:pP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金额</w:t>
                  </w:r>
                </w:p>
              </w:tc>
              <w:tc>
                <w:tcPr>
                  <w:tcW w:w="1077" w:type="dxa"/>
                  <w:vAlign w:val="center"/>
                </w:tcPr>
                <w:p w14:paraId="3F8D6E83">
                  <w:pPr>
                    <w:ind w:firstLine="105" w:firstLineChars="50"/>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1148" w:type="dxa"/>
                  <w:vAlign w:val="center"/>
                </w:tcPr>
                <w:p w14:paraId="4398C850">
                  <w:pPr>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1034" w:type="dxa"/>
                  <w:vAlign w:val="center"/>
                </w:tcPr>
                <w:p w14:paraId="47ED5A22">
                  <w:pPr>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21E2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14:paraId="6E2A3841">
                  <w:pPr>
                    <w:jc w:val="center"/>
                    <w:rPr>
                      <w:rFonts w:hint="eastAsia" w:ascii="宋体" w:hAnsi="宋体" w:eastAsia="宋体" w:cs="宋体"/>
                      <w:color w:val="auto"/>
                      <w:highlight w:val="none"/>
                    </w:rPr>
                  </w:pPr>
                  <w:r>
                    <w:rPr>
                      <w:rFonts w:hint="eastAsia" w:ascii="宋体" w:hAnsi="宋体" w:eastAsia="宋体" w:cs="宋体"/>
                      <w:color w:val="auto"/>
                      <w:highlight w:val="none"/>
                    </w:rPr>
                    <w:t>100万元以下</w:t>
                  </w:r>
                </w:p>
              </w:tc>
              <w:tc>
                <w:tcPr>
                  <w:tcW w:w="1077" w:type="dxa"/>
                  <w:vAlign w:val="center"/>
                </w:tcPr>
                <w:p w14:paraId="0A806533">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148" w:type="dxa"/>
                  <w:vAlign w:val="center"/>
                </w:tcPr>
                <w:p w14:paraId="34533C54">
                  <w:pPr>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034" w:type="dxa"/>
                  <w:vAlign w:val="center"/>
                </w:tcPr>
                <w:p w14:paraId="5477B9CC">
                  <w:pPr>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66E3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14:paraId="63E38DA8">
                  <w:pPr>
                    <w:jc w:val="center"/>
                    <w:rPr>
                      <w:rFonts w:hint="eastAsia" w:ascii="宋体" w:hAnsi="宋体" w:eastAsia="宋体" w:cs="宋体"/>
                      <w:color w:val="auto"/>
                      <w:highlight w:val="none"/>
                    </w:rPr>
                  </w:pPr>
                  <w:r>
                    <w:rPr>
                      <w:rFonts w:hint="eastAsia" w:ascii="宋体" w:hAnsi="宋体" w:eastAsia="宋体" w:cs="宋体"/>
                      <w:color w:val="auto"/>
                      <w:highlight w:val="none"/>
                    </w:rPr>
                    <w:t>100～500万元</w:t>
                  </w:r>
                </w:p>
              </w:tc>
              <w:tc>
                <w:tcPr>
                  <w:tcW w:w="1077" w:type="dxa"/>
                  <w:vAlign w:val="center"/>
                </w:tcPr>
                <w:p w14:paraId="640C8603">
                  <w:pPr>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48" w:type="dxa"/>
                  <w:vAlign w:val="center"/>
                </w:tcPr>
                <w:p w14:paraId="2567A229">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034" w:type="dxa"/>
                  <w:vAlign w:val="center"/>
                </w:tcPr>
                <w:p w14:paraId="28159C22">
                  <w:pPr>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70D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14:paraId="504EF16C">
                  <w:pPr>
                    <w:jc w:val="center"/>
                    <w:rPr>
                      <w:rFonts w:hint="eastAsia" w:ascii="宋体" w:hAnsi="宋体" w:eastAsia="宋体" w:cs="宋体"/>
                      <w:color w:val="auto"/>
                      <w:highlight w:val="none"/>
                    </w:rPr>
                  </w:pPr>
                  <w:r>
                    <w:rPr>
                      <w:rFonts w:hint="eastAsia" w:ascii="宋体" w:hAnsi="宋体" w:eastAsia="宋体" w:cs="宋体"/>
                      <w:color w:val="auto"/>
                      <w:highlight w:val="none"/>
                    </w:rPr>
                    <w:t>500～1000万元</w:t>
                  </w:r>
                </w:p>
              </w:tc>
              <w:tc>
                <w:tcPr>
                  <w:tcW w:w="1077" w:type="dxa"/>
                  <w:vAlign w:val="center"/>
                </w:tcPr>
                <w:p w14:paraId="3E919E4B">
                  <w:pPr>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1148" w:type="dxa"/>
                  <w:vAlign w:val="center"/>
                </w:tcPr>
                <w:p w14:paraId="50BB772C">
                  <w:pPr>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1034" w:type="dxa"/>
                  <w:vAlign w:val="center"/>
                </w:tcPr>
                <w:p w14:paraId="76923D75">
                  <w:pPr>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0B11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14:paraId="7B6728CF">
                  <w:pPr>
                    <w:jc w:val="center"/>
                    <w:rPr>
                      <w:rFonts w:hint="eastAsia" w:ascii="宋体" w:hAnsi="宋体" w:eastAsia="宋体" w:cs="宋体"/>
                      <w:color w:val="auto"/>
                      <w:highlight w:val="none"/>
                    </w:rPr>
                  </w:pPr>
                  <w:r>
                    <w:rPr>
                      <w:rFonts w:hint="eastAsia" w:ascii="宋体" w:hAnsi="宋体" w:eastAsia="宋体" w:cs="宋体"/>
                      <w:color w:val="auto"/>
                      <w:highlight w:val="none"/>
                    </w:rPr>
                    <w:t>1000～5000万元</w:t>
                  </w:r>
                </w:p>
              </w:tc>
              <w:tc>
                <w:tcPr>
                  <w:tcW w:w="1077" w:type="dxa"/>
                  <w:vAlign w:val="center"/>
                </w:tcPr>
                <w:p w14:paraId="0F6AD53B">
                  <w:pPr>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1148" w:type="dxa"/>
                  <w:vAlign w:val="center"/>
                </w:tcPr>
                <w:p w14:paraId="23A9BB3F">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034" w:type="dxa"/>
                  <w:vAlign w:val="center"/>
                </w:tcPr>
                <w:p w14:paraId="08A9A16C">
                  <w:pPr>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55BC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14:paraId="255E8DEB">
                  <w:pPr>
                    <w:jc w:val="center"/>
                    <w:rPr>
                      <w:rFonts w:hint="eastAsia" w:ascii="宋体" w:hAnsi="宋体" w:eastAsia="宋体" w:cs="宋体"/>
                      <w:color w:val="auto"/>
                      <w:highlight w:val="none"/>
                    </w:rPr>
                  </w:pPr>
                  <w:r>
                    <w:rPr>
                      <w:rFonts w:hint="eastAsia" w:ascii="宋体" w:hAnsi="宋体" w:eastAsia="宋体" w:cs="宋体"/>
                      <w:color w:val="auto"/>
                      <w:highlight w:val="none"/>
                    </w:rPr>
                    <w:t>5000万元～1亿元</w:t>
                  </w:r>
                </w:p>
              </w:tc>
              <w:tc>
                <w:tcPr>
                  <w:tcW w:w="1077" w:type="dxa"/>
                  <w:vAlign w:val="center"/>
                </w:tcPr>
                <w:p w14:paraId="3B29765C">
                  <w:pPr>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1148" w:type="dxa"/>
                  <w:vAlign w:val="center"/>
                </w:tcPr>
                <w:p w14:paraId="79967B06">
                  <w:pPr>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1034" w:type="dxa"/>
                  <w:vAlign w:val="center"/>
                </w:tcPr>
                <w:p w14:paraId="4BE8D740">
                  <w:pPr>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r w14:paraId="5919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9" w:type="dxa"/>
                  <w:vAlign w:val="center"/>
                </w:tcPr>
                <w:p w14:paraId="349C3BA8">
                  <w:pPr>
                    <w:jc w:val="center"/>
                    <w:rPr>
                      <w:rFonts w:hint="eastAsia" w:ascii="宋体" w:hAnsi="宋体" w:eastAsia="宋体" w:cs="宋体"/>
                      <w:color w:val="auto"/>
                      <w:highlight w:val="none"/>
                    </w:rPr>
                  </w:pPr>
                  <w:r>
                    <w:rPr>
                      <w:rFonts w:hint="eastAsia" w:ascii="宋体" w:hAnsi="宋体" w:eastAsia="宋体" w:cs="宋体"/>
                      <w:color w:val="auto"/>
                      <w:highlight w:val="none"/>
                    </w:rPr>
                    <w:t>1～5亿元</w:t>
                  </w:r>
                </w:p>
              </w:tc>
              <w:tc>
                <w:tcPr>
                  <w:tcW w:w="1077" w:type="dxa"/>
                  <w:vAlign w:val="center"/>
                </w:tcPr>
                <w:p w14:paraId="60F1653A">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148" w:type="dxa"/>
                  <w:vAlign w:val="center"/>
                </w:tcPr>
                <w:p w14:paraId="1D64C54F">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c>
                <w:tcPr>
                  <w:tcW w:w="1034" w:type="dxa"/>
                  <w:vAlign w:val="center"/>
                </w:tcPr>
                <w:p w14:paraId="3722A41D">
                  <w:pPr>
                    <w:jc w:val="center"/>
                    <w:rPr>
                      <w:rFonts w:hint="eastAsia" w:ascii="宋体" w:hAnsi="宋体" w:eastAsia="宋体" w:cs="宋体"/>
                      <w:color w:val="auto"/>
                      <w:highlight w:val="none"/>
                    </w:rPr>
                  </w:pPr>
                  <w:r>
                    <w:rPr>
                      <w:rFonts w:hint="eastAsia" w:ascii="宋体" w:hAnsi="宋体" w:eastAsia="宋体" w:cs="宋体"/>
                      <w:color w:val="auto"/>
                      <w:highlight w:val="none"/>
                    </w:rPr>
                    <w:t>0.05%</w:t>
                  </w:r>
                </w:p>
              </w:tc>
            </w:tr>
            <w:tr w14:paraId="7048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19" w:type="dxa"/>
                  <w:vAlign w:val="center"/>
                </w:tcPr>
                <w:p w14:paraId="63C8ABEE">
                  <w:pPr>
                    <w:jc w:val="center"/>
                    <w:rPr>
                      <w:rFonts w:hint="eastAsia" w:ascii="宋体" w:hAnsi="宋体" w:eastAsia="宋体" w:cs="宋体"/>
                      <w:color w:val="auto"/>
                      <w:highlight w:val="none"/>
                    </w:rPr>
                  </w:pPr>
                  <w:r>
                    <w:rPr>
                      <w:rFonts w:hint="eastAsia" w:ascii="宋体" w:hAnsi="宋体" w:eastAsia="宋体" w:cs="宋体"/>
                      <w:color w:val="auto"/>
                      <w:highlight w:val="none"/>
                    </w:rPr>
                    <w:t>5～10亿元</w:t>
                  </w:r>
                </w:p>
              </w:tc>
              <w:tc>
                <w:tcPr>
                  <w:tcW w:w="1077" w:type="dxa"/>
                  <w:vAlign w:val="center"/>
                </w:tcPr>
                <w:p w14:paraId="6FC0232C">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1148" w:type="dxa"/>
                  <w:vAlign w:val="center"/>
                </w:tcPr>
                <w:p w14:paraId="27655136">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c>
                <w:tcPr>
                  <w:tcW w:w="1034" w:type="dxa"/>
                  <w:vAlign w:val="center"/>
                </w:tcPr>
                <w:p w14:paraId="19B59FE5">
                  <w:pPr>
                    <w:jc w:val="center"/>
                    <w:rPr>
                      <w:rFonts w:hint="eastAsia" w:ascii="宋体" w:hAnsi="宋体" w:eastAsia="宋体" w:cs="宋体"/>
                      <w:color w:val="auto"/>
                      <w:highlight w:val="none"/>
                    </w:rPr>
                  </w:pPr>
                  <w:r>
                    <w:rPr>
                      <w:rFonts w:hint="eastAsia" w:ascii="宋体" w:hAnsi="宋体" w:eastAsia="宋体" w:cs="宋体"/>
                      <w:color w:val="auto"/>
                      <w:highlight w:val="none"/>
                    </w:rPr>
                    <w:t>0.035%</w:t>
                  </w:r>
                </w:p>
              </w:tc>
            </w:tr>
          </w:tbl>
          <w:p w14:paraId="05D5598B">
            <w:pPr>
              <w:pStyle w:val="2"/>
              <w:rPr>
                <w:rFonts w:hint="eastAsia" w:ascii="宋体" w:hAnsi="宋体" w:eastAsia="宋体" w:cs="宋体"/>
                <w:color w:val="auto"/>
                <w:szCs w:val="21"/>
                <w:highlight w:val="none"/>
              </w:rPr>
            </w:pPr>
          </w:p>
          <w:p w14:paraId="58AE79F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注：采购代理服务收费按差额定率累进法计算。</w:t>
            </w:r>
          </w:p>
          <w:p w14:paraId="6E40F93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例如：广西税务系统某工程招标代理业务</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金额为6000万元，计算招标代理服务收费额如下：</w:t>
            </w:r>
          </w:p>
          <w:p w14:paraId="2464E065">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100万元×1.0%=1万元</w:t>
            </w:r>
          </w:p>
          <w:p w14:paraId="529B030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（500-100）万元×0.7%=2.8万元</w:t>
            </w:r>
          </w:p>
          <w:p w14:paraId="5839E13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（1000-500）万元×0.55%=2.75万元</w:t>
            </w:r>
          </w:p>
          <w:p w14:paraId="558DB06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（5000-1000）万元×0.35%=14万元</w:t>
            </w:r>
          </w:p>
          <w:p w14:paraId="23E641A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（6000-5000）万元×0.2%=2万元</w:t>
            </w:r>
          </w:p>
          <w:p w14:paraId="338AAAC2">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合计收费（标准费率）=1+2.8+2.75+14+2=22.55（万元）</w:t>
            </w:r>
          </w:p>
          <w:p w14:paraId="53FEBE1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合计收费（标准费率下浮30%）=22.55×（1-30%）=15.785（万元）</w:t>
            </w:r>
          </w:p>
          <w:p w14:paraId="4C08E29D">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（2）代理费用汇到如下指定账户：</w:t>
            </w:r>
          </w:p>
          <w:p w14:paraId="428F1B13">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开户名称：广西众联工程项目管理有限公司</w:t>
            </w:r>
          </w:p>
          <w:p w14:paraId="47BB4AEB">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开户银行：中国光大银行股份有限公司南宁民主支行</w:t>
            </w:r>
          </w:p>
          <w:p w14:paraId="43B631C6">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银行账号：78900188000167866</w:t>
            </w:r>
          </w:p>
        </w:tc>
      </w:tr>
      <w:tr w14:paraId="0AC1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14:paraId="60501CE2">
            <w:pPr>
              <w:topLinePunct/>
              <w:autoSpaceDE w:val="0"/>
              <w:autoSpaceDN w:val="0"/>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859" w:type="dxa"/>
            <w:vAlign w:val="center"/>
          </w:tcPr>
          <w:p w14:paraId="05A28D59">
            <w:pPr>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其他补充事项</w:t>
            </w:r>
          </w:p>
        </w:tc>
        <w:tc>
          <w:tcPr>
            <w:tcW w:w="6183" w:type="dxa"/>
            <w:gridSpan w:val="2"/>
            <w:vAlign w:val="center"/>
          </w:tcPr>
          <w:p w14:paraId="40069C63">
            <w:pPr>
              <w:pStyle w:val="1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其他补充事项：</w:t>
            </w:r>
          </w:p>
          <w:p w14:paraId="6DF6945A">
            <w:pPr>
              <w:pStyle w:val="1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文件中描述</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的“公章”是指根据我国对公章的管理规定，用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法定主体行为名称制作的印章，除本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文件有特殊规定外，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的财务章、部门章、分公司章、工会章、合同章、投标专用章、业务专用章</w:t>
            </w:r>
            <w:r>
              <w:rPr>
                <w:rFonts w:hint="eastAsia" w:ascii="宋体" w:hAnsi="宋体" w:eastAsia="宋体" w:cs="宋体"/>
                <w:color w:val="auto"/>
                <w:highlight w:val="none"/>
                <w:lang w:eastAsia="zh-CN"/>
              </w:rPr>
              <w:t>等其他</w:t>
            </w:r>
            <w:r>
              <w:rPr>
                <w:rFonts w:hint="eastAsia" w:ascii="宋体" w:hAnsi="宋体" w:eastAsia="宋体" w:cs="宋体"/>
                <w:color w:val="auto"/>
                <w:highlight w:val="none"/>
              </w:rPr>
              <w:t>形式印章均不能代替公章。</w:t>
            </w:r>
          </w:p>
          <w:p w14:paraId="2B78B8EF">
            <w:pPr>
              <w:pStyle w:val="1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文件中描述</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的“签字”是指</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的法定代表人（负责人）或被授权人亲自在</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文件规定签署处亲笔写上个人的名字的行为，私章、签字章、印鉴、影印</w:t>
            </w:r>
            <w:r>
              <w:rPr>
                <w:rFonts w:hint="eastAsia" w:ascii="宋体" w:hAnsi="宋体" w:eastAsia="宋体" w:cs="宋体"/>
                <w:color w:val="auto"/>
                <w:highlight w:val="none"/>
                <w:lang w:eastAsia="zh-CN"/>
              </w:rPr>
              <w:t>等其他</w:t>
            </w:r>
            <w:r>
              <w:rPr>
                <w:rFonts w:hint="eastAsia" w:ascii="宋体" w:hAnsi="宋体" w:eastAsia="宋体" w:cs="宋体"/>
                <w:color w:val="auto"/>
                <w:highlight w:val="none"/>
              </w:rPr>
              <w:t>形式均不能代替亲笔签字。</w:t>
            </w:r>
          </w:p>
          <w:p w14:paraId="057E7530">
            <w:pPr>
              <w:pStyle w:val="1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成交供应商享受中小企业扶持政策的，采购人、采购代理机构应当随成交结果公开</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、成交供应商的《中小企业声明函》。</w:t>
            </w:r>
          </w:p>
          <w:p w14:paraId="16D435BA">
            <w:pPr>
              <w:adjustRightInd w:val="0"/>
              <w:snapToGrid w:val="0"/>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.成交供应商为残疾人福利性单位的，采购人或者其委托的采购代理机构应当随成交结果同时公告其《残疾人福利性单位声明函》，接受社会监督。</w:t>
            </w:r>
          </w:p>
          <w:p w14:paraId="080909FF">
            <w:pPr>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5.本</w:t>
            </w:r>
            <w:r>
              <w:rPr>
                <w:rFonts w:hint="eastAsia" w:ascii="宋体" w:hAnsi="宋体" w:eastAsia="宋体" w:cs="宋体"/>
                <w:color w:val="auto"/>
                <w:highlight w:val="none"/>
                <w:lang w:eastAsia="zh-CN"/>
              </w:rPr>
              <w:t>磋商文件</w:t>
            </w:r>
            <w:r>
              <w:rPr>
                <w:rFonts w:hint="eastAsia" w:ascii="宋体" w:hAnsi="宋体" w:eastAsia="宋体" w:cs="宋体"/>
                <w:color w:val="auto"/>
                <w:highlight w:val="none"/>
              </w:rPr>
              <w:t>所称的“以上”“以下”“内”“以内”，包括本数；所称的“不足”，不包括本数。</w:t>
            </w:r>
          </w:p>
        </w:tc>
      </w:tr>
    </w:tbl>
    <w:p w14:paraId="15CD99DA">
      <w:pPr>
        <w:spacing w:after="0" w:line="240" w:lineRule="auto"/>
        <w:rPr>
          <w:rFonts w:hint="eastAsia" w:ascii="宋体" w:hAnsi="宋体" w:eastAsia="宋体" w:cs="宋体"/>
          <w:color w:val="auto"/>
          <w:highlight w:val="none"/>
        </w:rPr>
      </w:pPr>
    </w:p>
    <w:p w14:paraId="6A84A7E0">
      <w:pPr>
        <w:spacing w:after="0" w:line="240" w:lineRule="auto"/>
        <w:rPr>
          <w:rFonts w:hint="eastAsia" w:ascii="宋体" w:hAnsi="宋体" w:eastAsia="宋体" w:cs="宋体"/>
          <w:color w:val="auto"/>
          <w:highlight w:val="none"/>
        </w:rPr>
        <w:sectPr>
          <w:pgSz w:w="11906" w:h="16838"/>
          <w:pgMar w:top="1440" w:right="1417" w:bottom="1440" w:left="1417" w:header="851" w:footer="992" w:gutter="0"/>
          <w:pgNumType w:fmt="decimal"/>
          <w:cols w:space="720" w:num="1"/>
          <w:titlePg/>
          <w:docGrid w:type="lines" w:linePitch="312" w:charSpace="0"/>
        </w:sectPr>
      </w:pPr>
    </w:p>
    <w:p w14:paraId="201C2D33">
      <w:pPr>
        <w:pStyle w:val="4"/>
        <w:bidi w:val="0"/>
        <w:ind w:firstLine="211" w:firstLineChars="100"/>
        <w:rPr>
          <w:rFonts w:hint="eastAsia" w:ascii="宋体" w:hAnsi="宋体" w:eastAsia="宋体" w:cs="宋体"/>
          <w:color w:val="auto"/>
          <w:sz w:val="21"/>
          <w:szCs w:val="21"/>
          <w:highlight w:val="none"/>
        </w:rPr>
      </w:pPr>
      <w:bookmarkStart w:id="23" w:name="_Toc29193"/>
      <w:r>
        <w:rPr>
          <w:rFonts w:hint="eastAsia" w:ascii="宋体" w:hAnsi="宋体" w:eastAsia="宋体" w:cs="宋体"/>
          <w:color w:val="auto"/>
          <w:sz w:val="21"/>
          <w:szCs w:val="21"/>
          <w:highlight w:val="none"/>
        </w:rPr>
        <w:t>一、总则</w:t>
      </w:r>
      <w:bookmarkEnd w:id="23"/>
    </w:p>
    <w:p w14:paraId="63F639BB">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1.预算资金及来源</w:t>
      </w:r>
    </w:p>
    <w:p w14:paraId="1DDF333B">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本项目已经</w:t>
      </w:r>
      <w:r>
        <w:rPr>
          <w:rFonts w:hint="eastAsia" w:ascii="宋体" w:hAnsi="宋体" w:eastAsia="宋体" w:cs="宋体"/>
          <w:b/>
          <w:color w:val="auto"/>
          <w:sz w:val="21"/>
          <w:szCs w:val="21"/>
          <w:highlight w:val="none"/>
          <w:u w:val="single"/>
          <w:lang w:eastAsia="zh-CN"/>
        </w:rPr>
        <w:t>国家税务总局钦州市钦南区税务局</w:t>
      </w:r>
      <w:r>
        <w:rPr>
          <w:rFonts w:hint="eastAsia" w:ascii="宋体" w:hAnsi="宋体" w:eastAsia="宋体" w:cs="宋体"/>
          <w:color w:val="auto"/>
          <w:sz w:val="21"/>
          <w:szCs w:val="21"/>
          <w:highlight w:val="none"/>
        </w:rPr>
        <w:t>批准。</w:t>
      </w:r>
    </w:p>
    <w:p w14:paraId="5E2B148E">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本项目预算资金见</w:t>
      </w:r>
      <w:r>
        <w:rPr>
          <w:rFonts w:hint="eastAsia" w:ascii="宋体" w:hAnsi="宋体" w:eastAsia="宋体" w:cs="宋体"/>
          <w:b/>
          <w:bCs/>
          <w:color w:val="auto"/>
          <w:sz w:val="21"/>
          <w:szCs w:val="21"/>
          <w:highlight w:val="none"/>
        </w:rPr>
        <w:t>供应商须知前附表</w:t>
      </w:r>
      <w:r>
        <w:rPr>
          <w:rFonts w:hint="eastAsia" w:ascii="宋体" w:hAnsi="宋体" w:eastAsia="宋体" w:cs="宋体"/>
          <w:color w:val="auto"/>
          <w:sz w:val="21"/>
          <w:szCs w:val="21"/>
          <w:highlight w:val="none"/>
        </w:rPr>
        <w:t>，已列入</w:t>
      </w:r>
      <w:r>
        <w:rPr>
          <w:rFonts w:hint="eastAsia" w:ascii="宋体" w:hAnsi="宋体" w:eastAsia="宋体" w:cs="宋体"/>
          <w:b/>
          <w:color w:val="auto"/>
          <w:sz w:val="21"/>
          <w:szCs w:val="21"/>
          <w:highlight w:val="none"/>
          <w:u w:val="single"/>
          <w:lang w:eastAsia="zh-CN"/>
        </w:rPr>
        <w:t>国家税务总局钦州市钦南区税务局</w:t>
      </w:r>
      <w:r>
        <w:rPr>
          <w:rFonts w:hint="eastAsia" w:ascii="宋体" w:hAnsi="宋体" w:eastAsia="宋体" w:cs="宋体"/>
          <w:color w:val="auto"/>
          <w:sz w:val="21"/>
          <w:szCs w:val="21"/>
          <w:highlight w:val="none"/>
        </w:rPr>
        <w:t>预算。</w:t>
      </w:r>
    </w:p>
    <w:p w14:paraId="5FC3CDF0">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2.合格的产品和服务（工程）</w:t>
      </w:r>
    </w:p>
    <w:p w14:paraId="7D4498EA">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本项目所涉及的所有产品和服务（工程）均应来自中国境内（指关境内），合同金额的支付也仅限于这些产品和服务（工程）。</w:t>
      </w:r>
    </w:p>
    <w:p w14:paraId="5456A31D">
      <w:pPr>
        <w:pageBreakBefore w:val="0"/>
        <w:tabs>
          <w:tab w:val="left" w:pos="2160"/>
        </w:tabs>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合格的产品和服务（工程），即</w:t>
      </w:r>
      <w:r>
        <w:rPr>
          <w:rFonts w:hint="eastAsia" w:ascii="宋体" w:hAnsi="宋体" w:eastAsia="宋体" w:cs="宋体"/>
          <w:b/>
          <w:bCs/>
          <w:color w:val="auto"/>
          <w:sz w:val="21"/>
          <w:szCs w:val="21"/>
          <w:highlight w:val="none"/>
        </w:rPr>
        <w:t>采购需求</w:t>
      </w:r>
      <w:r>
        <w:rPr>
          <w:rFonts w:hint="eastAsia" w:ascii="宋体" w:hAnsi="宋体" w:eastAsia="宋体" w:cs="宋体"/>
          <w:color w:val="auto"/>
          <w:sz w:val="21"/>
          <w:szCs w:val="21"/>
          <w:highlight w:val="none"/>
        </w:rPr>
        <w:t>见磋商</w:t>
      </w:r>
      <w:r>
        <w:rPr>
          <w:rFonts w:hint="eastAsia" w:ascii="宋体" w:hAnsi="宋体" w:eastAsia="宋体" w:cs="宋体"/>
          <w:b/>
          <w:color w:val="auto"/>
          <w:sz w:val="21"/>
          <w:szCs w:val="21"/>
          <w:highlight w:val="none"/>
        </w:rPr>
        <w:t>文件（技术部分）。</w:t>
      </w:r>
    </w:p>
    <w:p w14:paraId="0B6F2E1D">
      <w:pPr>
        <w:pageBreakBefore w:val="0"/>
        <w:kinsoku/>
        <w:wordWrap/>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供应商应保证所提供的产品及服务（工程）免受第三方提出侵犯其知识产权（专利权、商标权、工业设计权及使用权）的请求及起诉。</w:t>
      </w:r>
    </w:p>
    <w:p w14:paraId="7672E9D1">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3.合格的供应商</w:t>
      </w:r>
    </w:p>
    <w:p w14:paraId="763DDF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3.1一般规定</w:t>
      </w:r>
    </w:p>
    <w:p w14:paraId="5FB734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3.1.1供应商应有关法律、法规和规章的强制性规定。</w:t>
      </w:r>
    </w:p>
    <w:p w14:paraId="187924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3.1.2供应商的资格要求及本项目的特定资格要求见</w:t>
      </w:r>
      <w:r>
        <w:rPr>
          <w:rFonts w:hint="eastAsia" w:ascii="宋体" w:hAnsi="宋体" w:eastAsia="宋体" w:cs="宋体"/>
          <w:b/>
          <w:bCs/>
          <w:color w:val="auto"/>
          <w:highlight w:val="none"/>
        </w:rPr>
        <w:t>供应商须知前附</w:t>
      </w:r>
      <w:r>
        <w:rPr>
          <w:rFonts w:hint="eastAsia" w:ascii="宋体" w:hAnsi="宋体" w:eastAsia="宋体" w:cs="宋体"/>
          <w:color w:val="auto"/>
          <w:highlight w:val="none"/>
        </w:rPr>
        <w:t>表。</w:t>
      </w:r>
    </w:p>
    <w:p w14:paraId="0621E4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3.1.3资格条件中所称“重大违法记录”，是指供应商因违法经营受到刑事处罚或者责令停产停业、吊销许可证或者执照、较大数额罚款等行政处罚。</w:t>
      </w:r>
    </w:p>
    <w:p w14:paraId="20F5D9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“较大数额罚款”认定为200万元以上的罚款，法律、行政法规以及国务院有关部门明确规定相关领域“较大数额罚款”标准高于200万元的，从其规定。</w:t>
      </w:r>
    </w:p>
    <w:p w14:paraId="65A0D6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3.1.4信用记录要求</w:t>
      </w:r>
    </w:p>
    <w:p w14:paraId="01C36E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将通过“信用中国”网站（www.creditchina.gov.cn）、中国政府采购网（www.ccgp.gov.cn）等渠道查询供应商的信用记录，并对供应商信用记录进行甄别，对列入失信被执行人、重大税收违法案件当事人名单、政府采购严重违法失信行为记录名单及其他不符合《中华人民共和国政府采购法》第二十二条规定条件的供应商，应当拒绝其参与</w:t>
      </w:r>
      <w:r>
        <w:rPr>
          <w:rFonts w:hint="eastAsia" w:ascii="宋体" w:hAnsi="宋体" w:eastAsia="宋体" w:cs="宋体"/>
          <w:color w:val="auto"/>
          <w:highlight w:val="none"/>
          <w:lang w:eastAsia="zh-CN"/>
        </w:rPr>
        <w:t>本项目</w:t>
      </w:r>
      <w:r>
        <w:rPr>
          <w:rFonts w:hint="eastAsia" w:ascii="宋体" w:hAnsi="宋体" w:eastAsia="宋体" w:cs="宋体"/>
          <w:color w:val="auto"/>
          <w:highlight w:val="none"/>
        </w:rPr>
        <w:t>采购活动。</w:t>
      </w:r>
    </w:p>
    <w:p w14:paraId="34A003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AAA49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3.2联合体</w:t>
      </w:r>
    </w:p>
    <w:p w14:paraId="3620C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3.2.1若本项目接受联合体，则两个以上的自然人、法人或者其他组织可以组成一个联合体，以一个供应商的身份共同参加采购</w:t>
      </w:r>
      <w:r>
        <w:rPr>
          <w:rFonts w:hint="eastAsia" w:ascii="宋体" w:hAnsi="宋体" w:eastAsia="宋体" w:cs="宋体"/>
          <w:color w:val="auto"/>
          <w:highlight w:val="none"/>
          <w:lang w:eastAsia="zh-CN"/>
        </w:rPr>
        <w:t>活动</w:t>
      </w:r>
      <w:r>
        <w:rPr>
          <w:rFonts w:hint="eastAsia" w:ascii="宋体" w:hAnsi="宋体" w:eastAsia="宋体" w:cs="宋体"/>
          <w:color w:val="auto"/>
          <w:highlight w:val="none"/>
        </w:rPr>
        <w:t>。</w:t>
      </w:r>
    </w:p>
    <w:p w14:paraId="2671E9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3.2.2以联合体形式参加磋商的，联合体各方应按第二章要求提供资格条件材料。</w:t>
      </w:r>
    </w:p>
    <w:p w14:paraId="58704A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3.2.3联合体中有同类资质的供应商按照联合体分工承担相同工作的，应当按照资质等级较低的供应商确定资质等级。</w:t>
      </w:r>
    </w:p>
    <w:p w14:paraId="2BCC0A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3.2.4联合体应当提交联合协议，载明联合体各方承担的工作和义务。</w:t>
      </w:r>
    </w:p>
    <w:p w14:paraId="0074B9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3.2.5联合体各方应当共同与采购人签订采购合同，就采购合同约定的事项对采购人承担连带责任。</w:t>
      </w:r>
    </w:p>
    <w:p w14:paraId="523E90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3.2.6以联合体形式参加</w:t>
      </w:r>
      <w:r>
        <w:rPr>
          <w:rFonts w:hint="eastAsia" w:ascii="宋体" w:hAnsi="宋体" w:eastAsia="宋体" w:cs="宋体"/>
          <w:color w:val="auto"/>
          <w:highlight w:val="none"/>
          <w:lang w:eastAsia="zh-CN"/>
        </w:rPr>
        <w:t>本项目</w:t>
      </w:r>
      <w:r>
        <w:rPr>
          <w:rFonts w:hint="eastAsia" w:ascii="宋体" w:hAnsi="宋体" w:eastAsia="宋体" w:cs="宋体"/>
          <w:color w:val="auto"/>
          <w:highlight w:val="none"/>
        </w:rPr>
        <w:t>采购活动的，联合体各方不得再单独参加或者与其他供应商另外组成联合体参加同一合同项下的采购活动。</w:t>
      </w:r>
    </w:p>
    <w:p w14:paraId="6D87A1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3.3禁止规定</w:t>
      </w:r>
    </w:p>
    <w:p w14:paraId="4F3E0B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3.3.1单位负责人为同一人或者存在直接控股、管理关系的不同供应商，不得参加同一采购包的采购活动。否则响应均无效。</w:t>
      </w:r>
    </w:p>
    <w:p w14:paraId="18EAA2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3.3.2除单一来源采购项目外，为采购项目提供整体设计、规范编制或者项目管理、监理、检测等服务的供应商，不得再参加该采购项目的其他采购活动。否则响应无效。</w:t>
      </w:r>
    </w:p>
    <w:p w14:paraId="51F05A7A">
      <w:pPr>
        <w:pageBreakBefore w:val="0"/>
        <w:numPr>
          <w:ilvl w:val="0"/>
          <w:numId w:val="0"/>
        </w:numPr>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4.磋商响应费用</w:t>
      </w:r>
    </w:p>
    <w:p w14:paraId="1B07B6E6">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4.1供应商应承担所有与编写、提交响应文件有关的费用，不论磋商的结果如何，采购人在任何情况下均无义务和责任承担这些费用。</w:t>
      </w:r>
    </w:p>
    <w:p w14:paraId="4890BCC8">
      <w:pPr>
        <w:pStyle w:val="4"/>
        <w:bidi w:val="0"/>
        <w:ind w:firstLine="422" w:firstLineChars="200"/>
        <w:rPr>
          <w:rFonts w:hint="eastAsia" w:ascii="宋体" w:hAnsi="宋体" w:eastAsia="宋体" w:cs="宋体"/>
          <w:color w:val="auto"/>
          <w:sz w:val="21"/>
          <w:szCs w:val="21"/>
          <w:highlight w:val="none"/>
        </w:rPr>
      </w:pPr>
      <w:bookmarkStart w:id="24" w:name="_Toc11006"/>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bookmarkEnd w:id="24"/>
    </w:p>
    <w:p w14:paraId="3A2E4036">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5.磋商文件构成</w:t>
      </w:r>
    </w:p>
    <w:p w14:paraId="089BBAEF">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 商务部分</w:t>
      </w:r>
    </w:p>
    <w:p w14:paraId="29D0277D">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（1）磋商邀请</w:t>
      </w:r>
    </w:p>
    <w:p w14:paraId="606CF7AE">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14:paraId="1D08A699">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（3）评审方法及标准</w:t>
      </w:r>
    </w:p>
    <w:p w14:paraId="0FB905C3">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（4）采购合同文本</w:t>
      </w:r>
    </w:p>
    <w:p w14:paraId="77114AC2">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（5）响应文件格式</w:t>
      </w:r>
    </w:p>
    <w:p w14:paraId="21887FAE">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第二部分 技术部分</w:t>
      </w:r>
    </w:p>
    <w:p w14:paraId="7E4C2CEB">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b/>
          <w:color w:val="auto"/>
          <w:sz w:val="21"/>
          <w:szCs w:val="21"/>
          <w:highlight w:val="none"/>
        </w:rPr>
      </w:pPr>
      <w:r>
        <w:rPr>
          <w:rStyle w:val="20"/>
          <w:rFonts w:hint="eastAsia" w:ascii="宋体" w:hAnsi="宋体" w:eastAsia="宋体" w:cs="宋体"/>
          <w:color w:val="auto"/>
          <w:sz w:val="21"/>
          <w:szCs w:val="21"/>
          <w:highlight w:val="none"/>
          <w:u w:val="none"/>
          <w:lang w:eastAsia="zh-CN"/>
        </w:rPr>
        <w:t>（</w:t>
      </w:r>
      <w:r>
        <w:rPr>
          <w:rStyle w:val="20"/>
          <w:rFonts w:hint="eastAsia" w:ascii="宋体" w:hAnsi="宋体" w:eastAsia="宋体" w:cs="宋体"/>
          <w:color w:val="auto"/>
          <w:sz w:val="21"/>
          <w:szCs w:val="21"/>
          <w:highlight w:val="none"/>
          <w:u w:val="none"/>
          <w:lang w:val="en-US" w:eastAsia="zh-CN"/>
        </w:rPr>
        <w:t>6</w:t>
      </w:r>
      <w:r>
        <w:rPr>
          <w:rStyle w:val="20"/>
          <w:rFonts w:hint="eastAsia" w:ascii="宋体" w:hAnsi="宋体" w:eastAsia="宋体" w:cs="宋体"/>
          <w:color w:val="auto"/>
          <w:sz w:val="21"/>
          <w:szCs w:val="21"/>
          <w:highlight w:val="none"/>
          <w:u w:val="none"/>
          <w:lang w:eastAsia="zh-CN"/>
        </w:rPr>
        <w:t>）</w:t>
      </w:r>
      <w:r>
        <w:rPr>
          <w:rStyle w:val="20"/>
          <w:rFonts w:hint="eastAsia" w:ascii="宋体" w:hAnsi="宋体" w:eastAsia="宋体" w:cs="宋体"/>
          <w:color w:val="auto"/>
          <w:sz w:val="21"/>
          <w:szCs w:val="21"/>
          <w:highlight w:val="none"/>
          <w:u w:val="none"/>
        </w:rPr>
        <w:t>项目采购需求</w:t>
      </w:r>
    </w:p>
    <w:p w14:paraId="201BB54D">
      <w:pPr>
        <w:pageBreakBefore w:val="0"/>
        <w:kinsoku/>
        <w:wordWrap/>
        <w:topLinePunct/>
        <w:autoSpaceDE w:val="0"/>
        <w:autoSpaceDN w:val="0"/>
        <w:bidi w:val="0"/>
        <w:adjustRightInd w:val="0"/>
        <w:snapToGrid w:val="0"/>
        <w:spacing w:after="0" w:line="360" w:lineRule="auto"/>
        <w:ind w:firstLine="413" w:firstLineChars="196"/>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6.磋商文件询问、澄清或修改</w:t>
      </w:r>
    </w:p>
    <w:p w14:paraId="059F47C9">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6.1供应商对</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文件如有疑问的，可以向采购人或者采购代理机构提出询问，采购人或者采购代理机构应当在3个工作日内作出答复</w:t>
      </w:r>
      <w:r>
        <w:rPr>
          <w:rFonts w:hint="eastAsia" w:ascii="宋体" w:hAnsi="宋体" w:eastAsia="宋体" w:cs="宋体"/>
          <w:bCs/>
          <w:color w:val="auto"/>
          <w:sz w:val="21"/>
          <w:szCs w:val="21"/>
          <w:highlight w:val="none"/>
        </w:rPr>
        <w:t>，但答复的内容不得涉及商业秘密。</w:t>
      </w:r>
      <w:r>
        <w:rPr>
          <w:rFonts w:hint="eastAsia" w:ascii="宋体" w:hAnsi="宋体" w:eastAsia="宋体" w:cs="宋体"/>
          <w:color w:val="auto"/>
          <w:sz w:val="21"/>
          <w:szCs w:val="21"/>
          <w:highlight w:val="none"/>
        </w:rPr>
        <w:t>如有必要，采购人或者采购代理机构可对磋商文件进行澄清或者修改。</w:t>
      </w:r>
    </w:p>
    <w:p w14:paraId="436D9CA4">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6.2提交首次响应文件截止之日前，采购人、采购代理机构或者磋商小组可以对已发出的磋商文件进行必要的澄清或者修改。</w:t>
      </w:r>
    </w:p>
    <w:p w14:paraId="75DA19A2">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6.3澄清或者修改将在原公告发布媒体上发布更正公告，并以书面形式通知所有获取磋商文件的供应商。</w:t>
      </w:r>
    </w:p>
    <w:p w14:paraId="19E9E105">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21681E21">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6.5澄清或者修改的内容作为磋商文件的组成部分。</w:t>
      </w:r>
    </w:p>
    <w:p w14:paraId="7433A4B5">
      <w:pPr>
        <w:pStyle w:val="4"/>
        <w:bidi w:val="0"/>
        <w:ind w:firstLine="422" w:firstLineChars="200"/>
        <w:rPr>
          <w:rFonts w:hint="eastAsia" w:ascii="宋体" w:hAnsi="宋体" w:eastAsia="宋体" w:cs="宋体"/>
          <w:color w:val="auto"/>
          <w:sz w:val="21"/>
          <w:szCs w:val="21"/>
          <w:highlight w:val="none"/>
        </w:rPr>
      </w:pPr>
      <w:bookmarkStart w:id="25" w:name="_Toc25318"/>
      <w:r>
        <w:rPr>
          <w:rFonts w:hint="eastAsia" w:ascii="宋体" w:hAnsi="宋体" w:eastAsia="宋体" w:cs="宋体"/>
          <w:color w:val="auto"/>
          <w:sz w:val="21"/>
          <w:szCs w:val="21"/>
          <w:highlight w:val="none"/>
        </w:rPr>
        <w:t>三、响应文件</w:t>
      </w:r>
      <w:bookmarkEnd w:id="25"/>
    </w:p>
    <w:p w14:paraId="337FDE37">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响应文件编制</w:t>
      </w:r>
    </w:p>
    <w:p w14:paraId="095C82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7.1响应文件的编制</w:t>
      </w:r>
    </w:p>
    <w:p w14:paraId="79E7D8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7.1.1供应商应先仔细阅读</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highlight w:val="none"/>
        </w:rPr>
        <w:t>文件的全部内容后，再进行响应文件的编制。</w:t>
      </w:r>
    </w:p>
    <w:p w14:paraId="76904A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7.1.2响应文件应满足</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highlight w:val="none"/>
        </w:rPr>
        <w:t>文件提出的实质性要求和条件，并保证其所提交的全部资料是不可割离且真实、有效、准确、完整和不具有任何误导性的，否则造</w:t>
      </w:r>
      <w:r>
        <w:rPr>
          <w:rFonts w:hint="eastAsia" w:ascii="宋体" w:hAnsi="宋体" w:eastAsia="宋体" w:cs="宋体"/>
          <w:color w:val="auto"/>
          <w:highlight w:val="none"/>
          <w:lang w:eastAsia="zh-CN"/>
        </w:rPr>
        <w:t>成的</w:t>
      </w:r>
      <w:r>
        <w:rPr>
          <w:rFonts w:hint="eastAsia" w:ascii="宋体" w:hAnsi="宋体" w:eastAsia="宋体" w:cs="宋体"/>
          <w:color w:val="auto"/>
          <w:highlight w:val="none"/>
        </w:rPr>
        <w:t>不利后果由供应商承担责任。</w:t>
      </w:r>
    </w:p>
    <w:p w14:paraId="19F382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7.2响应文件的语言</w:t>
      </w:r>
    </w:p>
    <w:p w14:paraId="451E6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7.2.1除</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highlight w:val="none"/>
        </w:rPr>
        <w:t>文件另有规定外，响应文件应使用中文文本并使用中文简化字，若有不同文本，以中文简化字文本为准。</w:t>
      </w:r>
    </w:p>
    <w:p w14:paraId="37FF39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7.2.2响应文件提供的全部资料中，若属于非中文描述的，应同时提供中文简化字译本。</w:t>
      </w:r>
    </w:p>
    <w:p w14:paraId="12DA1E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7.2.3除在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highlight w:val="none"/>
        </w:rPr>
        <w:t>文件的要求中另有规定外，响应文件计量单位应使用中华人民共和国法定计量单位。</w:t>
      </w:r>
    </w:p>
    <w:p w14:paraId="1621CD39">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8.响应文件的组成</w:t>
      </w:r>
    </w:p>
    <w:p w14:paraId="610AA962">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响应文件包括商务部分和技术部分。</w:t>
      </w:r>
    </w:p>
    <w:p w14:paraId="7E9A8FEE">
      <w:pPr>
        <w:pageBreakBefore w:val="0"/>
        <w:kinsoku/>
        <w:wordWrap/>
        <w:topLinePunct/>
        <w:autoSpaceDE w:val="0"/>
        <w:autoSpaceDN w:val="0"/>
        <w:bidi w:val="0"/>
        <w:adjustRightInd w:val="0"/>
        <w:snapToGrid w:val="0"/>
        <w:spacing w:after="0" w:line="360" w:lineRule="auto"/>
        <w:ind w:firstLine="428" w:firstLineChars="2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响应文件</w:t>
      </w:r>
      <w:r>
        <w:rPr>
          <w:rFonts w:hint="eastAsia" w:ascii="宋体" w:hAnsi="宋体" w:eastAsia="宋体" w:cs="宋体"/>
          <w:b/>
          <w:bCs/>
          <w:color w:val="auto"/>
          <w:sz w:val="21"/>
          <w:szCs w:val="21"/>
          <w:highlight w:val="none"/>
        </w:rPr>
        <w:t>商务部分</w:t>
      </w:r>
      <w:r>
        <w:rPr>
          <w:rFonts w:hint="eastAsia" w:ascii="宋体" w:hAnsi="宋体" w:eastAsia="宋体" w:cs="宋体"/>
          <w:color w:val="auto"/>
          <w:sz w:val="21"/>
          <w:szCs w:val="21"/>
          <w:highlight w:val="none"/>
        </w:rPr>
        <w:t>主要包括的文件和资料：</w:t>
      </w:r>
    </w:p>
    <w:p w14:paraId="4BB1EE2E">
      <w:pPr>
        <w:pageBreakBefore w:val="0"/>
        <w:kinsoku/>
        <w:wordWrap/>
        <w:topLinePunct/>
        <w:autoSpaceDE w:val="0"/>
        <w:autoSpaceDN w:val="0"/>
        <w:bidi w:val="0"/>
        <w:adjustRightInd w:val="0"/>
        <w:snapToGrid w:val="0"/>
        <w:spacing w:after="0" w:line="360" w:lineRule="auto"/>
        <w:ind w:firstLine="428" w:firstLineChars="2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8.2.1资格证明文件，见</w:t>
      </w:r>
      <w:r>
        <w:rPr>
          <w:rFonts w:hint="eastAsia" w:ascii="宋体" w:hAnsi="宋体" w:eastAsia="宋体" w:cs="宋体"/>
          <w:b/>
          <w:color w:val="auto"/>
          <w:sz w:val="21"/>
          <w:szCs w:val="21"/>
          <w:highlight w:val="none"/>
        </w:rPr>
        <w:t>供应商须知前附表。</w:t>
      </w:r>
    </w:p>
    <w:p w14:paraId="1EDE294A">
      <w:pPr>
        <w:pageBreakBefore w:val="0"/>
        <w:kinsoku/>
        <w:wordWrap/>
        <w:overflowPunct w:val="0"/>
        <w:autoSpaceDE w:val="0"/>
        <w:autoSpaceDN w:val="0"/>
        <w:bidi w:val="0"/>
        <w:adjustRightInd w:val="0"/>
        <w:snapToGrid w:val="0"/>
        <w:spacing w:after="0" w:line="360" w:lineRule="auto"/>
        <w:ind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8.2.2其他文件及资料，见</w:t>
      </w:r>
      <w:r>
        <w:rPr>
          <w:rFonts w:hint="eastAsia" w:ascii="宋体" w:hAnsi="宋体" w:eastAsia="宋体" w:cs="宋体"/>
          <w:b/>
          <w:color w:val="auto"/>
          <w:sz w:val="21"/>
          <w:szCs w:val="21"/>
          <w:highlight w:val="none"/>
        </w:rPr>
        <w:t>供应商须知前附表。</w:t>
      </w:r>
    </w:p>
    <w:p w14:paraId="1EE164AA">
      <w:pPr>
        <w:pageBreakBefore w:val="0"/>
        <w:kinsoku/>
        <w:wordWrap/>
        <w:overflowPunct w:val="0"/>
        <w:autoSpaceDE w:val="0"/>
        <w:autoSpaceDN w:val="0"/>
        <w:bidi w:val="0"/>
        <w:adjustRightInd w:val="0"/>
        <w:snapToGrid w:val="0"/>
        <w:spacing w:after="0" w:line="360" w:lineRule="auto"/>
        <w:ind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响应文件</w:t>
      </w:r>
      <w:r>
        <w:rPr>
          <w:rFonts w:hint="eastAsia" w:ascii="宋体" w:hAnsi="宋体" w:eastAsia="宋体" w:cs="宋体"/>
          <w:b/>
          <w:bCs/>
          <w:color w:val="auto"/>
          <w:sz w:val="21"/>
          <w:szCs w:val="21"/>
          <w:highlight w:val="none"/>
        </w:rPr>
        <w:t>技术部分</w:t>
      </w:r>
      <w:r>
        <w:rPr>
          <w:rFonts w:hint="eastAsia" w:ascii="宋体" w:hAnsi="宋体" w:eastAsia="宋体" w:cs="宋体"/>
          <w:color w:val="auto"/>
          <w:sz w:val="21"/>
          <w:szCs w:val="21"/>
          <w:highlight w:val="none"/>
        </w:rPr>
        <w:t>主要包括的文件及资料，见</w:t>
      </w:r>
      <w:r>
        <w:rPr>
          <w:rFonts w:hint="eastAsia" w:ascii="宋体" w:hAnsi="宋体" w:eastAsia="宋体" w:cs="宋体"/>
          <w:b/>
          <w:color w:val="auto"/>
          <w:sz w:val="21"/>
          <w:szCs w:val="21"/>
          <w:highlight w:val="none"/>
        </w:rPr>
        <w:t>供应商须知前附表。</w:t>
      </w:r>
    </w:p>
    <w:p w14:paraId="41441DE9">
      <w:pPr>
        <w:pageBreakBefore w:val="0"/>
        <w:kinsoku/>
        <w:wordWrap/>
        <w:overflowPunct w:val="0"/>
        <w:autoSpaceDE w:val="0"/>
        <w:autoSpaceDN w:val="0"/>
        <w:bidi w:val="0"/>
        <w:adjustRightInd w:val="0"/>
        <w:snapToGrid w:val="0"/>
        <w:spacing w:after="0" w:line="360" w:lineRule="auto"/>
        <w:ind w:firstLine="426" w:firstLineChars="20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证明资料如标明有效期的，必须在有效期内。</w:t>
      </w:r>
    </w:p>
    <w:p w14:paraId="39D9FEC1">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9.报价要求</w:t>
      </w:r>
    </w:p>
    <w:p w14:paraId="2BE44BB1">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9.1除</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文件另有规定外，应以人民币报价。</w:t>
      </w:r>
    </w:p>
    <w:p w14:paraId="278E0D5D">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9.2本项目不接受任何形式的赠送、“零”报价和折扣报价。</w:t>
      </w:r>
    </w:p>
    <w:p w14:paraId="6208787A">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9.3本项目以磋商总报价为依据计算价格分。磋商总报价应包括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文件中要求供应商承担所有工作内容的全部费用。</w:t>
      </w:r>
    </w:p>
    <w:p w14:paraId="5249E554">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46A41F70">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9.5最低报价不能作为成交的保证。</w:t>
      </w:r>
    </w:p>
    <w:p w14:paraId="4DE15175">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9.6供应商的报价不得超过采购项目预算。</w:t>
      </w:r>
    </w:p>
    <w:p w14:paraId="4D505BCF">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10.响应文件的书写、密封、签署、盖章</w:t>
      </w:r>
    </w:p>
    <w:p w14:paraId="43A519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10.1书写</w:t>
      </w:r>
    </w:p>
    <w:p w14:paraId="35350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10.1.1响应文件应使用不能擦去的墨料或墨水打印、书写。</w:t>
      </w:r>
    </w:p>
    <w:p w14:paraId="25CD44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10.1.2响应文件内容应没有涂改或行间插字。若有前述改动，在改动处应由单位负责人（授权代表）签字确认或加盖供应商的单位公章。</w:t>
      </w:r>
    </w:p>
    <w:p w14:paraId="47D709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10.2密封</w:t>
      </w:r>
    </w:p>
    <w:p w14:paraId="67BF64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10.2.1响应文件应胶装或装订成册，避免材料散装、脱落。</w:t>
      </w:r>
    </w:p>
    <w:p w14:paraId="768CFB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10.2.2响应文件应使用不透明的牛皮纸或档案袋等材料密封包装，并在外包装封面注明</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项目编号、项目名称、</w:t>
      </w:r>
      <w:r>
        <w:rPr>
          <w:rFonts w:hint="eastAsia" w:ascii="宋体" w:hAnsi="宋体" w:eastAsia="宋体" w:cs="宋体"/>
          <w:color w:val="auto"/>
          <w:highlight w:val="none"/>
          <w:lang w:eastAsia="zh-CN"/>
        </w:rPr>
        <w:t>供应商名称、</w:t>
      </w:r>
      <w:r>
        <w:rPr>
          <w:rFonts w:hint="eastAsia" w:ascii="宋体" w:hAnsi="宋体" w:eastAsia="宋体" w:cs="宋体"/>
          <w:color w:val="auto"/>
          <w:highlight w:val="none"/>
          <w:lang w:val="en-US" w:eastAsia="zh-CN"/>
        </w:rPr>
        <w:t>响应文件启封</w:t>
      </w:r>
      <w:r>
        <w:rPr>
          <w:rFonts w:hint="eastAsia" w:ascii="宋体" w:hAnsi="宋体" w:eastAsia="宋体" w:cs="宋体"/>
          <w:color w:val="auto"/>
          <w:highlight w:val="none"/>
        </w:rPr>
        <w:t>时间</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等信息，避免响应文件被误拆或提前拆封。响应文件正本应按上述要求制作。副本可按上述要求制作，也可用正本的完整复印件，并与正本保持一致（若不一致，以正本为准）</w:t>
      </w:r>
      <w:r>
        <w:rPr>
          <w:rFonts w:hint="eastAsia" w:ascii="宋体" w:hAnsi="宋体" w:eastAsia="宋体" w:cs="宋体"/>
          <w:color w:val="auto"/>
          <w:highlight w:val="none"/>
          <w:lang w:eastAsia="zh-CN"/>
        </w:rPr>
        <w:t>。</w:t>
      </w:r>
    </w:p>
    <w:p w14:paraId="1D5FB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10.3签署、盖章</w:t>
      </w:r>
    </w:p>
    <w:p w14:paraId="062766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10.3.1响应文件中要求签字处应由供应商的单位负责人（授权代表）签字。</w:t>
      </w:r>
    </w:p>
    <w:p w14:paraId="58B1D1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10.3.2响应文件必须按照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highlight w:val="none"/>
        </w:rPr>
        <w:t>文件给出文件格式的签署要求进行签署。</w:t>
      </w:r>
    </w:p>
    <w:p w14:paraId="7CA0EBDE">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10.3.3供应商在</w:t>
      </w:r>
      <w:r>
        <w:rPr>
          <w:rFonts w:hint="eastAsia" w:ascii="宋体" w:hAnsi="宋体" w:eastAsia="宋体" w:cs="宋体"/>
          <w:b/>
          <w:bCs/>
          <w:color w:val="auto"/>
          <w:sz w:val="21"/>
          <w:szCs w:val="21"/>
          <w:highlight w:val="none"/>
        </w:rPr>
        <w:t>“磋商响应函”“法定代表人授权委托书”</w:t>
      </w:r>
      <w:r>
        <w:rPr>
          <w:rFonts w:hint="eastAsia" w:ascii="宋体" w:hAnsi="宋体" w:eastAsia="宋体" w:cs="宋体"/>
          <w:color w:val="auto"/>
          <w:sz w:val="21"/>
          <w:szCs w:val="21"/>
          <w:highlight w:val="none"/>
        </w:rPr>
        <w:t>上应当按格式要求加盖与供应商名称全称一致的标准公章，并按照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文件第五章响应文件格式中的相应格式文件要求签署全名。</w:t>
      </w:r>
    </w:p>
    <w:p w14:paraId="60E2B8CF">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10.3.4响应文件中的“盖章”指加盖供应商的“公章”，而非“合同专用章”、“投标专用章”等其他非公章。</w:t>
      </w:r>
    </w:p>
    <w:p w14:paraId="1AF249A0">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响应有效期</w:t>
      </w:r>
    </w:p>
    <w:p w14:paraId="3DC664C4">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11.1响应有效期见</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，在此期间，响应文件对供应商具有法律约束力，以保证采购人或者采购代理机构有足够的时间完成磋商、评审、定标以及签订合同。响应文件中承诺的响应有效期应当不少于</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文件中载明的响应有效期，否则作为无效响应处理。</w:t>
      </w:r>
    </w:p>
    <w:p w14:paraId="6FF451CC">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11.2特殊情况下，在原响应有效期期满之前，采购人或者采购代理机构可征得供应商同意延长响应有效期。</w:t>
      </w:r>
    </w:p>
    <w:p w14:paraId="024EDF94">
      <w:pPr>
        <w:pStyle w:val="4"/>
        <w:bidi w:val="0"/>
        <w:ind w:firstLine="422" w:firstLineChars="200"/>
        <w:rPr>
          <w:rFonts w:hint="eastAsia" w:ascii="宋体" w:hAnsi="宋体" w:eastAsia="宋体" w:cs="宋体"/>
          <w:color w:val="auto"/>
          <w:highlight w:val="none"/>
        </w:rPr>
      </w:pPr>
      <w:bookmarkStart w:id="26" w:name="_Toc23689"/>
      <w:r>
        <w:rPr>
          <w:rFonts w:hint="eastAsia" w:ascii="宋体" w:hAnsi="宋体" w:eastAsia="宋体" w:cs="宋体"/>
          <w:color w:val="auto"/>
          <w:sz w:val="21"/>
          <w:szCs w:val="21"/>
          <w:highlight w:val="none"/>
        </w:rPr>
        <w:t>四、响应文件递交</w:t>
      </w:r>
      <w:bookmarkEnd w:id="26"/>
    </w:p>
    <w:p w14:paraId="3277CAC6">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响应文件递交</w:t>
      </w:r>
    </w:p>
    <w:p w14:paraId="26253741">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12.1供应商应当在</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要求</w:t>
      </w:r>
      <w:r>
        <w:rPr>
          <w:rFonts w:hint="eastAsia" w:ascii="宋体" w:hAnsi="宋体" w:cs="宋体"/>
          <w:color w:val="auto"/>
          <w:sz w:val="21"/>
          <w:szCs w:val="21"/>
          <w:highlight w:val="none"/>
          <w:lang w:eastAsia="zh-CN"/>
        </w:rPr>
        <w:t>递</w:t>
      </w:r>
      <w:r>
        <w:rPr>
          <w:rFonts w:hint="eastAsia" w:ascii="宋体" w:hAnsi="宋体" w:eastAsia="宋体" w:cs="宋体"/>
          <w:color w:val="auto"/>
          <w:sz w:val="21"/>
          <w:szCs w:val="21"/>
          <w:highlight w:val="none"/>
        </w:rPr>
        <w:t>交响应文件截止时间前，根据《供应商须知前附表》载明方式</w:t>
      </w:r>
      <w:r>
        <w:rPr>
          <w:rFonts w:hint="eastAsia" w:ascii="宋体" w:hAnsi="宋体" w:cs="宋体"/>
          <w:color w:val="auto"/>
          <w:sz w:val="21"/>
          <w:szCs w:val="21"/>
          <w:highlight w:val="none"/>
          <w:lang w:eastAsia="zh-CN"/>
        </w:rPr>
        <w:t>递</w:t>
      </w:r>
      <w:r>
        <w:rPr>
          <w:rFonts w:hint="eastAsia" w:ascii="宋体" w:hAnsi="宋体" w:eastAsia="宋体" w:cs="宋体"/>
          <w:color w:val="auto"/>
          <w:sz w:val="21"/>
          <w:szCs w:val="21"/>
          <w:highlight w:val="none"/>
        </w:rPr>
        <w:t>交响应文件。</w:t>
      </w:r>
      <w:r>
        <w:rPr>
          <w:rFonts w:hint="eastAsia" w:ascii="宋体" w:hAnsi="宋体" w:cs="宋体"/>
          <w:color w:val="auto"/>
          <w:sz w:val="21"/>
          <w:szCs w:val="21"/>
          <w:highlight w:val="none"/>
          <w:lang w:eastAsia="zh-CN"/>
        </w:rPr>
        <w:t>递</w:t>
      </w:r>
      <w:r>
        <w:rPr>
          <w:rFonts w:hint="eastAsia" w:ascii="宋体" w:hAnsi="宋体" w:eastAsia="宋体" w:cs="宋体"/>
          <w:color w:val="auto"/>
          <w:sz w:val="21"/>
          <w:szCs w:val="21"/>
          <w:highlight w:val="none"/>
        </w:rPr>
        <w:t>交响应文件截止时间后，</w:t>
      </w:r>
      <w:r>
        <w:rPr>
          <w:rFonts w:hint="eastAsia" w:ascii="宋体" w:hAnsi="宋体" w:cs="宋体"/>
          <w:color w:val="auto"/>
          <w:sz w:val="21"/>
          <w:szCs w:val="21"/>
          <w:highlight w:val="none"/>
          <w:lang w:eastAsia="zh-CN"/>
        </w:rPr>
        <w:t>递</w:t>
      </w:r>
      <w:r>
        <w:rPr>
          <w:rFonts w:hint="eastAsia" w:ascii="宋体" w:hAnsi="宋体" w:eastAsia="宋体" w:cs="宋体"/>
          <w:color w:val="auto"/>
          <w:sz w:val="21"/>
          <w:szCs w:val="21"/>
          <w:highlight w:val="none"/>
        </w:rPr>
        <w:t>交响应文件的将被拒绝。</w:t>
      </w:r>
    </w:p>
    <w:p w14:paraId="6201E44E">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响应文件补充、修改或撤回</w:t>
      </w:r>
    </w:p>
    <w:p w14:paraId="31493B93">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13.1供应商在提交响应文件截止时间前，可以对所提交的响应文件进行补充、修改或者撤回，并书面通知采购人、采购代理机构。补充、修改的内容应当按照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文件要求签署、盖章、密封后，作为响应文件的组成部分。</w:t>
      </w:r>
    </w:p>
    <w:p w14:paraId="2F7B7A31">
      <w:pPr>
        <w:pageBreakBefore w:val="0"/>
        <w:widowControl/>
        <w:kinsoku/>
        <w:wordWrap/>
        <w:topLinePunct/>
        <w:autoSpaceDE w:val="0"/>
        <w:autoSpaceDN w:val="0"/>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13.2提交响应文件截止时间后，不支持对已提交的响应文件</w:t>
      </w:r>
      <w:r>
        <w:rPr>
          <w:rFonts w:hint="eastAsia" w:ascii="宋体" w:hAnsi="宋体" w:eastAsia="宋体" w:cs="宋体"/>
          <w:color w:val="auto"/>
          <w:sz w:val="21"/>
          <w:szCs w:val="21"/>
          <w:highlight w:val="none"/>
          <w:lang w:eastAsia="zh-CN"/>
        </w:rPr>
        <w:t>做</w:t>
      </w:r>
      <w:r>
        <w:rPr>
          <w:rFonts w:hint="eastAsia" w:ascii="宋体" w:hAnsi="宋体" w:eastAsia="宋体" w:cs="宋体"/>
          <w:color w:val="auto"/>
          <w:sz w:val="21"/>
          <w:szCs w:val="21"/>
          <w:highlight w:val="none"/>
        </w:rPr>
        <w:t>任何补充、修改或者撤回。</w:t>
      </w:r>
    </w:p>
    <w:p w14:paraId="59996ABF">
      <w:pPr>
        <w:pStyle w:val="4"/>
        <w:bidi w:val="0"/>
        <w:ind w:firstLine="422" w:firstLineChars="200"/>
        <w:rPr>
          <w:rFonts w:hint="eastAsia" w:ascii="宋体" w:hAnsi="宋体" w:eastAsia="宋体" w:cs="宋体"/>
          <w:color w:val="auto"/>
          <w:highlight w:val="none"/>
        </w:rPr>
      </w:pPr>
      <w:bookmarkStart w:id="27" w:name="_Toc28284"/>
      <w:r>
        <w:rPr>
          <w:rFonts w:hint="eastAsia" w:ascii="宋体" w:hAnsi="宋体" w:eastAsia="宋体" w:cs="宋体"/>
          <w:color w:val="auto"/>
          <w:sz w:val="21"/>
          <w:szCs w:val="21"/>
          <w:highlight w:val="none"/>
        </w:rPr>
        <w:t>五、磋商与评审</w:t>
      </w:r>
      <w:bookmarkEnd w:id="27"/>
    </w:p>
    <w:p w14:paraId="3147B4DA">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14.磋商小组</w:t>
      </w:r>
    </w:p>
    <w:p w14:paraId="1069E3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14.1磋商与评审由依法组建的磋商小组负责，磋商小组由采购人代表和评审专家组成。</w:t>
      </w:r>
    </w:p>
    <w:p w14:paraId="10200A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14.2评审专家应当遵守评审工作纪律，不得泄露评审情况和评审中获悉的商业秘密。</w:t>
      </w:r>
    </w:p>
    <w:p w14:paraId="44C18C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14.3磋商小组成员应当按照客观、公正、审慎的原则，根据磋商文件规定的评审程序、评审方法和评审标准进行独立评审。</w:t>
      </w:r>
    </w:p>
    <w:p w14:paraId="2E64DD19">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15.初步审查</w:t>
      </w:r>
    </w:p>
    <w:p w14:paraId="5409ED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14:paraId="2C2F8C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供应商未按照磋商文件规定提交磋商保证金的；</w:t>
      </w:r>
    </w:p>
    <w:p w14:paraId="0BC1B1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未按照磋商文件规定要求密封、签署、盖章的；</w:t>
      </w:r>
    </w:p>
    <w:p w14:paraId="411370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响应有效期不足的；</w:t>
      </w:r>
    </w:p>
    <w:p w14:paraId="7855DD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供应商不满足磋商文件供应商资格条件或未按照磋商文件规定提供资格证明材料的；</w:t>
      </w:r>
    </w:p>
    <w:p w14:paraId="4C6DDF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响应文件不满足磋商文件实质性条款的。响应文件是否实质性响应磋商文件，由磋商小组依据磋商文件规定、供应商响应文件及磋商情况认定；</w:t>
      </w:r>
    </w:p>
    <w:p w14:paraId="5159F2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供应商存在失信记录的：</w:t>
      </w:r>
    </w:p>
    <w:p w14:paraId="4080B0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失信记录是指，通过“信用中国”网站</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www.creditchina.gov.cn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、中国政府采购网</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www.ccgp.gov.cn</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查询相关主体信用记录，列入失信被执行人、重大税收违法案件当事人名单、政府采购严重违法失信行为记录名单的情况。失信情况查询详见供应商须知前附表；</w:t>
      </w:r>
    </w:p>
    <w:p w14:paraId="37FDB3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其他不符合法律、规章、规范性文件和磋商文件规定的。</w:t>
      </w:r>
    </w:p>
    <w:p w14:paraId="40DC8486">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16.澄清</w:t>
      </w:r>
    </w:p>
    <w:p w14:paraId="3118D0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16.1磋商小组在对响应文件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包括首次响应文件、重新提交的响应文件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的有效性、完整性和对磋商文件的响应程度进行审查时，可以要求供应商对响应文件中含义不明确、同类问题表述不一致或者有明显文字和计算错误的内容等作出必要的澄清、说明或者更正。该要求应当以书面形式作出。</w:t>
      </w:r>
    </w:p>
    <w:p w14:paraId="364CE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16.2供应商的澄清、说明或者更正应当采用书面形式，由其法定代表人或其授权代表签字，供应商的澄清、说明或者更正不得超出磋商文件的范围或者改变响应文件的实质性内容。</w:t>
      </w:r>
    </w:p>
    <w:p w14:paraId="04A562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16.3关于响应描述（即响应文件中描述的内容）</w:t>
      </w:r>
    </w:p>
    <w:p w14:paraId="572987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（1）响应描述前后不一致且不涉及证明材料的：按照本节第16.1条、16.2条规定执行。</w:t>
      </w:r>
    </w:p>
    <w:p w14:paraId="303E88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（2）响应描述与证明材料不一致或多份证明材料之间不一致的：</w:t>
      </w:r>
    </w:p>
    <w:p w14:paraId="571F4E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①磋商小组将要求供应商进行书面澄清，无法澄清的将按照不利于供应商的内容进行评审。</w:t>
      </w:r>
    </w:p>
    <w:p w14:paraId="4C0731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②供应商按照要求进行澄清的，采购人以澄清内容为准进行验收；供应商未按照要求进行澄清的，采购人以响应描述或证明材料中有利于采购人的内容进行验收。供应商应对证明材料的真实性、有效性承担责任。</w:t>
      </w:r>
    </w:p>
    <w:p w14:paraId="0882D6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若成交供应商的响应描述存在前后不一致、与证明材料不一致或多份证明材料之间不一致情形之一但在磋商中未能发现，则采购人将以响应描述或证明材料中有利于采购人的内容进行验收，成交供应商应自行承担由此产生的风险及费用。</w:t>
      </w:r>
    </w:p>
    <w:p w14:paraId="32AB5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16.4除磋商小组要求供应商做出的澄清、说明或者补正以外，磋商小组不接受供应商的任何询问、说明、更改及文件。</w:t>
      </w:r>
    </w:p>
    <w:p w14:paraId="547FF5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16.5供应商的澄清必须在规定的时间内提交。</w:t>
      </w:r>
    </w:p>
    <w:p w14:paraId="0AB06F12">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17.磋商</w:t>
      </w:r>
    </w:p>
    <w:p w14:paraId="0724BF1F">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17.1初审结束后，磋商小组所有成员集中与单一供应商分别进行磋商，并给予所有参加磋商的供应商平等的磋商机会。供应商应派其法定代表人或授权代表参加磋商。</w:t>
      </w:r>
    </w:p>
    <w:p w14:paraId="00C8A41A">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17.2磋商过程中，磋商小组可以根据磋商文件和磋商情况实质性变动采购需求中的技术、服务要求以及合同草案条款，但不得变动磋商文件中的其他内容。实质性变动的内容，须经采购人代表确认。</w:t>
      </w:r>
    </w:p>
    <w:p w14:paraId="7A3A57AA">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17.3对磋商文件作出的实质性变动是磋商文件的有效组成部分，磋商小组应当及时以书面形式同时通知所有参加磋商的供应商。</w:t>
      </w:r>
    </w:p>
    <w:p w14:paraId="24FAF9C3">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EAFE4A9">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17.5磋商文件不能详细列明采购标的技术、服务要求，需经磋商由供应商提供最终设计方案或解决方案的，磋商结束后，磋商小组应当按照少数服从多数的原则投票推荐3家以上供应商的设计方案或者解决方案。</w:t>
      </w:r>
    </w:p>
    <w:p w14:paraId="5CDFD88C">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17.6磋商小组应当根据实际情况与供应商进行磋商，并确定磋商的轮次。</w:t>
      </w:r>
    </w:p>
    <w:p w14:paraId="641F8CF1">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17.7已提交响应文件的供应商，在提交最后报价之前，可以根据磋商情况退出磋商。采购人或采购代理机构应当退还退出磋商的供应商的磋商保证金。</w:t>
      </w:r>
    </w:p>
    <w:p w14:paraId="705C3BC4">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17.8磋商结束后，供应商按照磋商小组要求重新提交的响应文件，不满足磋商文件及变动后的技术、服务要求以及合同草案条款的实质性要求的，将视为无效响应文件。</w:t>
      </w:r>
    </w:p>
    <w:p w14:paraId="22335723">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18.最后报价</w:t>
      </w:r>
    </w:p>
    <w:p w14:paraId="0FAB454F">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　磋商结束后，磋商小组应当要求所有实质性响应的供应商在规定时间内提交最后报价，提交最后报价的供应商不得少于3家。</w:t>
      </w:r>
    </w:p>
    <w:p w14:paraId="7720AD6F">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02EABDE">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最后报价是供应商响应文件的有效组成部分。如磋商小组没有对磋商文件作实质性变动或增加新的需求，最后报价不得高于首轮报价。</w:t>
      </w:r>
    </w:p>
    <w:p w14:paraId="1CDD7226">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19.最后报价评审</w:t>
      </w:r>
    </w:p>
    <w:p w14:paraId="4B1133D9">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19.1最后报价计算错误修正的原则</w:t>
      </w:r>
    </w:p>
    <w:p w14:paraId="1FB60418">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最后报价的大写金额和小写金额不一致的，以大写金额为准。</w:t>
      </w:r>
    </w:p>
    <w:p w14:paraId="5A874380">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总价金额与按分项报价汇总金额不一致的，以分项报价金额计算结果为准。</w:t>
      </w:r>
    </w:p>
    <w:p w14:paraId="7FA23513">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分项报价金额小数点有明显错位的，应以总价为准，并修改分项报价。</w:t>
      </w:r>
    </w:p>
    <w:p w14:paraId="46E19827">
      <w:pPr>
        <w:pageBreakBefore w:val="0"/>
        <w:kinsoku/>
        <w:wordWrap/>
        <w:overflowPunct w:val="0"/>
        <w:autoSpaceDE w:val="0"/>
        <w:autoSpaceDN w:val="0"/>
        <w:bidi w:val="0"/>
        <w:adjustRightInd w:val="0"/>
        <w:snapToGrid w:val="0"/>
        <w:spacing w:after="0" w:line="360" w:lineRule="auto"/>
        <w:ind w:left="0" w:leftChars="0" w:firstLine="319" w:firstLineChars="15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同时出现两种以上不一致的，按照前款规定的顺序修正。 </w:t>
      </w:r>
    </w:p>
    <w:p w14:paraId="141EA809">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如果供应商不接受对其错误的更正，其最后报价将被视为无效报价或确定为无效响应。</w:t>
      </w:r>
    </w:p>
    <w:p w14:paraId="7FC24A86">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磋商报价得分：以供应商的最后报价作为价格评分依据。供应商的评审价为按上述条款修正后的价格。</w:t>
      </w:r>
    </w:p>
    <w:p w14:paraId="6C88866F">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价格评分统一采用低价优先法计算，即满足磋商文件要求且价格最低的评审价为评审基准价，其价格分为满分。其他供应商的价格分统一按照下列公式计算：</w:t>
      </w:r>
    </w:p>
    <w:p w14:paraId="3D3FA04F">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磋商报价得分=（磋商基准价/最后磋商报价）×价格满分值</w:t>
      </w:r>
    </w:p>
    <w:p w14:paraId="5071058E">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20.综合评审</w:t>
      </w:r>
    </w:p>
    <w:p w14:paraId="21720337">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20.1经磋商确定最终采购需求和提交最后报价的供应商后，由磋商小组采用综合评分法对提交最后报价的供应商的响应文件和最后报价进行综合评分。</w:t>
      </w:r>
    </w:p>
    <w:p w14:paraId="72E382A4">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20.2评审办法及标准见第三章。</w:t>
      </w:r>
    </w:p>
    <w:p w14:paraId="4F045839">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20.3评审时，磋商小组成员应当独立对每个有效响应的文件进行评价、打分，然后汇总每个供应商每项评分因素的得分。</w:t>
      </w:r>
    </w:p>
    <w:p w14:paraId="66C34467">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21.提出成交供应商</w:t>
      </w:r>
    </w:p>
    <w:p w14:paraId="1C67E2F7">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21.1磋商小组应当按照综合评分由高到低的顺序提出3名以上成交候选供应商，并编写评审报告。21.2</w:t>
      </w:r>
      <w:r>
        <w:rPr>
          <w:rFonts w:hint="eastAsia" w:ascii="宋体" w:hAnsi="宋体" w:eastAsia="宋体" w:cs="宋体"/>
          <w:color w:val="auto"/>
          <w:sz w:val="21"/>
          <w:szCs w:val="21"/>
          <w:highlight w:val="none"/>
          <w:u w:val="none"/>
        </w:rPr>
        <w:t>评审得分相同的，按照最后报价由低到高的顺序推荐。评审得分且最后报价相同的，按照技术指标优劣顺序推荐</w:t>
      </w:r>
      <w:r>
        <w:rPr>
          <w:rFonts w:hint="eastAsia" w:ascii="宋体" w:hAnsi="宋体" w:eastAsia="宋体" w:cs="宋体"/>
          <w:color w:val="auto"/>
          <w:sz w:val="21"/>
          <w:szCs w:val="21"/>
          <w:highlight w:val="none"/>
        </w:rPr>
        <w:t>。</w:t>
      </w:r>
    </w:p>
    <w:p w14:paraId="311DCFBB">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22.磋商终止</w:t>
      </w:r>
    </w:p>
    <w:p w14:paraId="6EB40383">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22.1出现下列情形之一的，采购人或者采购代理机构应当终止</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采购活动，在财政部指定的媒体上发布项目终止公告并说明原因，重新开展采购活动：</w:t>
      </w:r>
    </w:p>
    <w:p w14:paraId="624D594D">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因情况变化，不再符合规定的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采购方式适用情形的；</w:t>
      </w:r>
    </w:p>
    <w:p w14:paraId="19C048B3">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出现影响采购公正的违法、违规行为的；</w:t>
      </w:r>
    </w:p>
    <w:p w14:paraId="4C9F323E">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在采购过程中符合竞争要求的供应商或者报价未超过采购预算的供应商不足3家的，或者提交最后报价的供应商少于3家的； </w:t>
      </w:r>
    </w:p>
    <w:p w14:paraId="1B65B24A">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因重大变故，采购任务取消的。</w:t>
      </w:r>
    </w:p>
    <w:p w14:paraId="011FEDF1">
      <w:pPr>
        <w:pStyle w:val="4"/>
        <w:bidi w:val="0"/>
        <w:ind w:firstLine="422" w:firstLineChars="200"/>
        <w:rPr>
          <w:rFonts w:hint="eastAsia" w:ascii="宋体" w:hAnsi="宋体" w:eastAsia="宋体" w:cs="宋体"/>
          <w:color w:val="auto"/>
          <w:sz w:val="21"/>
          <w:szCs w:val="21"/>
          <w:highlight w:val="none"/>
        </w:rPr>
      </w:pPr>
      <w:bookmarkStart w:id="28" w:name="_Toc21311"/>
      <w:r>
        <w:rPr>
          <w:rFonts w:hint="eastAsia" w:ascii="宋体" w:hAnsi="宋体" w:eastAsia="宋体" w:cs="宋体"/>
          <w:color w:val="auto"/>
          <w:sz w:val="21"/>
          <w:szCs w:val="21"/>
          <w:highlight w:val="none"/>
        </w:rPr>
        <w:t>六、成交和合同</w:t>
      </w:r>
      <w:bookmarkEnd w:id="28"/>
    </w:p>
    <w:p w14:paraId="623C2BD6">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成交</w:t>
      </w:r>
    </w:p>
    <w:p w14:paraId="0620B0CE">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23.1采购代理机构应当在评审结束后2个工作日内将评审报告送采购人确认。</w:t>
      </w:r>
    </w:p>
    <w:p w14:paraId="1E4173A6">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A87F767">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23.3采购人或者采购代理机构应当在成交供应商确定后2个工作日内，在</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规定的媒体上公告成交结果，并将磋商文件随成交结果同时公告。</w:t>
      </w:r>
    </w:p>
    <w:p w14:paraId="0BB4CAD8">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23.4在公告成交结果的同时，采购人或者采购代理机构应当向成交供应商发出成交通知书</w:t>
      </w:r>
    </w:p>
    <w:p w14:paraId="76910F49">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23.5成交通知书对采购人和成交供应商具有同等法律效力。</w:t>
      </w:r>
    </w:p>
    <w:p w14:paraId="32338DEF">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24</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签订合同</w:t>
      </w:r>
    </w:p>
    <w:p w14:paraId="4D5BECAC">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24.1采购人与成交供应商应当在成交通知书发出之日起30日内，按照磋商文件确定的合同文本以及采购标的、规格型号、采购金额、采购数量、技术和服务要求等事项签订采购合同。</w:t>
      </w:r>
    </w:p>
    <w:p w14:paraId="43355C77">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D5D5E97">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成交供应商拒绝签订采购合同的，采购人可以按照本章第23.2条规定的原则确定其他供应商作为成交供应商并签订采购合同，也可以重新开展采购活动。拒绝签订采购合同的成交供应商不得参加对该项目重新开展的采购活动。</w:t>
      </w:r>
    </w:p>
    <w:p w14:paraId="3B7F2CEE">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履约保证金</w:t>
      </w:r>
    </w:p>
    <w:p w14:paraId="7C460425">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25.1成交供应商按照</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的规定，在签订采购合同前，向采购人提交履约保证金。联合体成交的，履约保证金以联合体各方或联合体中牵头人的名义提交。</w:t>
      </w:r>
    </w:p>
    <w:p w14:paraId="1E1A7724">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25.2成交供应商没有按照</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的规定提交履约保证金的，视为放弃成交资格，其磋商保证金不予退还。</w:t>
      </w:r>
    </w:p>
    <w:p w14:paraId="75BC8B70">
      <w:pPr>
        <w:pStyle w:val="4"/>
        <w:bidi w:val="0"/>
        <w:ind w:firstLine="422" w:firstLineChars="200"/>
        <w:rPr>
          <w:rFonts w:hint="eastAsia" w:ascii="宋体" w:hAnsi="宋体" w:eastAsia="宋体" w:cs="宋体"/>
          <w:color w:val="auto"/>
          <w:sz w:val="21"/>
          <w:szCs w:val="21"/>
          <w:highlight w:val="none"/>
        </w:rPr>
      </w:pPr>
      <w:bookmarkStart w:id="29" w:name="_Toc20370"/>
      <w:r>
        <w:rPr>
          <w:rFonts w:hint="eastAsia" w:ascii="宋体" w:hAnsi="宋体" w:eastAsia="宋体" w:cs="宋体"/>
          <w:color w:val="auto"/>
          <w:sz w:val="21"/>
          <w:szCs w:val="21"/>
          <w:highlight w:val="none"/>
        </w:rPr>
        <w:t>七、询问和质疑</w:t>
      </w:r>
      <w:bookmarkEnd w:id="29"/>
    </w:p>
    <w:p w14:paraId="2B18B24E">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询问</w:t>
      </w:r>
    </w:p>
    <w:p w14:paraId="66929BD3">
      <w:pPr>
        <w:pageBreakBefore w:val="0"/>
        <w:kinsoku/>
        <w:wordWrap/>
        <w:topLinePunct/>
        <w:autoSpaceDE w:val="0"/>
        <w:autoSpaceDN w:val="0"/>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26.1潜在供应商、供应商对采购活动事项有疑问的，可以向采购人或者采购代理机构提出询问，采购人或者采购代理机构应当在3个工作日内对依法提出的询问作出答复，但答复的内容不得涉及商业秘密。</w:t>
      </w:r>
    </w:p>
    <w:p w14:paraId="06DA022D">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27</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质疑</w:t>
      </w:r>
    </w:p>
    <w:p w14:paraId="3E5B4FDA">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27.1潜在供应商、供应商（统称质疑人）认为</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文件、采购过程和成交结果使自己的权益受到损害的，可以在知道或者应知其权益受到损害之日起7个工作日内以书面形式向采购人或者采购代理机构提出质疑。联系部门、联系电话、通讯地址、电子邮箱</w:t>
      </w:r>
      <w:r>
        <w:rPr>
          <w:rFonts w:hint="eastAsia" w:ascii="宋体" w:hAnsi="宋体" w:eastAsia="宋体" w:cs="宋体"/>
          <w:b/>
          <w:bCs/>
          <w:color w:val="auto"/>
          <w:sz w:val="21"/>
          <w:szCs w:val="21"/>
          <w:highlight w:val="none"/>
        </w:rPr>
        <w:t>见</w:t>
      </w:r>
      <w:r>
        <w:rPr>
          <w:rFonts w:hint="eastAsia" w:ascii="宋体" w:hAnsi="宋体" w:eastAsia="宋体" w:cs="宋体"/>
          <w:b/>
          <w:color w:val="auto"/>
          <w:sz w:val="21"/>
          <w:szCs w:val="21"/>
          <w:highlight w:val="none"/>
        </w:rPr>
        <w:t>供应商须知前附表</w:t>
      </w:r>
      <w:r>
        <w:rPr>
          <w:rFonts w:hint="eastAsia" w:ascii="宋体" w:hAnsi="宋体" w:eastAsia="宋体" w:cs="宋体"/>
          <w:color w:val="auto"/>
          <w:sz w:val="21"/>
          <w:szCs w:val="21"/>
          <w:highlight w:val="none"/>
        </w:rPr>
        <w:t>。</w:t>
      </w:r>
    </w:p>
    <w:p w14:paraId="100554B2">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27.2在法定质疑期内，针对同一采购程序环节的质疑应一次性提出。</w:t>
      </w:r>
    </w:p>
    <w:p w14:paraId="2A577BEF">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27.3质疑人应知其权益受到损害之日，是指： </w:t>
      </w:r>
    </w:p>
    <w:p w14:paraId="03317B7E">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（1）对可以质疑的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文件提出质疑的，为收到</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文件之日或者</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文件公告期限届满之日；</w:t>
      </w:r>
    </w:p>
    <w:p w14:paraId="15383E72">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（2）对采购过程提出质疑的，为各采购程序环节结束之日；</w:t>
      </w:r>
    </w:p>
    <w:p w14:paraId="364823B4">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（3）对成交结果提出质疑的，为成交结果公告期限届满之日。</w:t>
      </w:r>
    </w:p>
    <w:p w14:paraId="07B7C917">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27.4质疑应当有明确的请求和必要的证明材料。供应商为自然人的，应当由本人签字；供应商为法人或者其他组织的，应当由法定代表人、主要负责人，或者其授权代表签字或者签章，并加盖公章。</w:t>
      </w:r>
    </w:p>
    <w:p w14:paraId="2B858DFB">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27.5采购人或者代理机构应当在收到供应商的质疑函后7个工作日内，对质疑内容作出答复，</w:t>
      </w:r>
      <w:r>
        <w:rPr>
          <w:rFonts w:hint="eastAsia" w:ascii="宋体" w:hAnsi="宋体" w:eastAsia="宋体" w:cs="宋体"/>
          <w:bCs/>
          <w:color w:val="auto"/>
          <w:sz w:val="21"/>
          <w:szCs w:val="21"/>
          <w:highlight w:val="none"/>
        </w:rPr>
        <w:t>书面形式</w:t>
      </w:r>
      <w:r>
        <w:rPr>
          <w:rFonts w:hint="eastAsia" w:ascii="宋体" w:hAnsi="宋体" w:eastAsia="宋体" w:cs="宋体"/>
          <w:color w:val="auto"/>
          <w:sz w:val="21"/>
          <w:szCs w:val="21"/>
          <w:highlight w:val="none"/>
        </w:rPr>
        <w:t>通知质疑供应商和其他有关供应商，但答复内容不得涉及商业秘密。</w:t>
      </w:r>
    </w:p>
    <w:p w14:paraId="57271A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27.6质疑人对采购人、采购代理机构的答复不满意或者采购人、采购代理机构未在规定的时间内作出答复的，可以在答复期满后15个工作日内向</w:t>
      </w:r>
      <w:r>
        <w:rPr>
          <w:rFonts w:hint="eastAsia" w:ascii="宋体" w:hAnsi="宋体" w:eastAsia="宋体" w:cs="宋体"/>
          <w:color w:val="auto"/>
          <w:highlight w:val="none"/>
          <w:lang w:eastAsia="zh-CN"/>
        </w:rPr>
        <w:t>采购人监督</w:t>
      </w:r>
      <w:r>
        <w:rPr>
          <w:rFonts w:hint="eastAsia" w:ascii="宋体" w:hAnsi="宋体" w:eastAsia="宋体" w:cs="宋体"/>
          <w:color w:val="auto"/>
          <w:highlight w:val="none"/>
        </w:rPr>
        <w:t>部门投诉。</w:t>
      </w:r>
    </w:p>
    <w:p w14:paraId="307EF3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27.7投诉应当有明确的请求和必要的证明材料。投诉的事项不得超出已质疑事项的范围。</w:t>
      </w:r>
    </w:p>
    <w:p w14:paraId="1600C8A5">
      <w:pPr>
        <w:pStyle w:val="4"/>
        <w:bidi w:val="0"/>
        <w:ind w:firstLine="422" w:firstLineChars="200"/>
        <w:rPr>
          <w:rFonts w:hint="eastAsia" w:ascii="宋体" w:hAnsi="宋体" w:eastAsia="宋体" w:cs="宋体"/>
          <w:color w:val="auto"/>
          <w:sz w:val="21"/>
          <w:szCs w:val="21"/>
          <w:highlight w:val="none"/>
        </w:rPr>
      </w:pPr>
      <w:bookmarkStart w:id="30" w:name="_Toc11125"/>
      <w:r>
        <w:rPr>
          <w:rFonts w:hint="eastAsia" w:ascii="宋体" w:hAnsi="宋体" w:eastAsia="宋体" w:cs="宋体"/>
          <w:color w:val="auto"/>
          <w:sz w:val="21"/>
          <w:szCs w:val="21"/>
          <w:highlight w:val="none"/>
        </w:rPr>
        <w:t>八、其他</w:t>
      </w:r>
      <w:bookmarkEnd w:id="30"/>
    </w:p>
    <w:p w14:paraId="63078DAD">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28</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保密</w:t>
      </w:r>
    </w:p>
    <w:p w14:paraId="117F987C">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28.1采购人、采购代理机构应当按照本办法的规定组织开展</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，并采取必要措施，保证磋商在严格保密的情况下进行。任何单位和个人不得非法干预、影响磋商过程和结果。</w:t>
      </w:r>
    </w:p>
    <w:p w14:paraId="75BC544D">
      <w:pPr>
        <w:pageBreakBefore w:val="0"/>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28.2磋商小组成员和参与评审工作的有关人员对评审情况以及在评审过程中获悉的国家秘密、商业秘密负有保密责任。</w:t>
      </w:r>
    </w:p>
    <w:p w14:paraId="1E41B595">
      <w:pPr>
        <w:pageBreakBefore w:val="0"/>
        <w:kinsoku/>
        <w:wordWrap/>
        <w:topLinePunct/>
        <w:autoSpaceDE w:val="0"/>
        <w:autoSpaceDN w:val="0"/>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29. 知识产权与规避专利、版权纠纷</w:t>
      </w:r>
    </w:p>
    <w:p w14:paraId="7A23646F">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29.1知识产权</w:t>
      </w:r>
    </w:p>
    <w:p w14:paraId="6D6AE478">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29.1.1项目系统的版权属于采购人所有，成交供应商应向采购人开放并提供涉及本项目软件开发、升级完善、运行维护等工作的全部源代码（含保证期内的后续升级版本）。由本项目系统形成的技术和成果的专利申请权、专利权、技术秘密的所有权、使用权、转让权等知识产权归采购人所有。</w:t>
      </w:r>
    </w:p>
    <w:p w14:paraId="21398F86">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29.2规避专利、版权纠纷</w:t>
      </w:r>
    </w:p>
    <w:p w14:paraId="3F31ACFB">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29.2.1供应商应保证其响应方案中的有关软件、文件、图纸等没有违反有关专利和版权等知识产权的规定。</w:t>
      </w:r>
    </w:p>
    <w:p w14:paraId="0C85DD85">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29.2.2成交供应商应保证采购人在中华人民共和国使用本项目成果任何一部分、或接受乙方服务时，免受第三方提出的侵犯其专利权、商标权或工业设计权等知识产权的索赔或起诉。</w:t>
      </w:r>
    </w:p>
    <w:p w14:paraId="4052AA86">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29.2.3如果采购人在使用本项目任何一部分时被任何第三方诉称侵犯了第三方知识产权或</w:t>
      </w:r>
      <w:r>
        <w:rPr>
          <w:rFonts w:hint="eastAsia" w:ascii="宋体" w:hAnsi="宋体" w:eastAsia="宋体" w:cs="宋体"/>
          <w:color w:val="auto"/>
          <w:sz w:val="21"/>
          <w:szCs w:val="21"/>
          <w:highlight w:val="none"/>
          <w:lang w:eastAsia="zh-CN"/>
        </w:rPr>
        <w:t>任何其他</w:t>
      </w:r>
      <w:r>
        <w:rPr>
          <w:rFonts w:hint="eastAsia" w:ascii="宋体" w:hAnsi="宋体" w:eastAsia="宋体" w:cs="宋体"/>
          <w:color w:val="auto"/>
          <w:sz w:val="21"/>
          <w:szCs w:val="21"/>
          <w:highlight w:val="none"/>
        </w:rPr>
        <w:t>权利，成交供应商应负责处理这一指控并应以成交供应商的名义自负费用向起诉方提出抗辩。由此可能产生的一切法律责任和经济责任均由成交供应商承担。</w:t>
      </w:r>
    </w:p>
    <w:p w14:paraId="4EB3E296">
      <w:pPr>
        <w:pageBreakBefore w:val="0"/>
        <w:widowControl/>
        <w:kinsoku/>
        <w:wordWrap/>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29.2.4如果采购人发现任何第三方在采购人未被许可的范围内非法使用采购人获得的知识产权，采购人应通知成交供应商。成交供应商应在收到采购人通知后14天内采取行动制止非法使用行为，否则由成交供应商承担相应的责任。</w:t>
      </w:r>
    </w:p>
    <w:p w14:paraId="7B61E1A6">
      <w:pPr>
        <w:pageBreakBefore w:val="0"/>
        <w:kinsoku/>
        <w:wordWrap/>
        <w:bidi w:val="0"/>
        <w:spacing w:line="360" w:lineRule="auto"/>
        <w:textAlignment w:val="auto"/>
        <w:rPr>
          <w:rFonts w:hint="eastAsia" w:ascii="宋体" w:hAnsi="宋体" w:eastAsia="宋体" w:cs="宋体"/>
          <w:color w:val="auto"/>
          <w:sz w:val="21"/>
          <w:szCs w:val="21"/>
          <w:highlight w:val="none"/>
        </w:rPr>
        <w:sectPr>
          <w:pgSz w:w="11906" w:h="16838"/>
          <w:pgMar w:top="1440" w:right="1417" w:bottom="1440" w:left="1417" w:header="851" w:footer="992" w:gutter="0"/>
          <w:pgNumType w:fmt="decimal"/>
          <w:cols w:space="720" w:num="1"/>
          <w:titlePg/>
          <w:docGrid w:type="lines" w:linePitch="312" w:charSpace="0"/>
        </w:sectPr>
      </w:pPr>
    </w:p>
    <w:p w14:paraId="0A9B36BD">
      <w:pPr>
        <w:pStyle w:val="3"/>
        <w:bidi w:val="0"/>
        <w:jc w:val="center"/>
        <w:rPr>
          <w:rFonts w:hint="eastAsia" w:ascii="宋体" w:hAnsi="宋体" w:eastAsia="宋体" w:cs="宋体"/>
          <w:color w:val="auto"/>
          <w:sz w:val="30"/>
          <w:szCs w:val="30"/>
          <w:highlight w:val="none"/>
        </w:rPr>
      </w:pPr>
      <w:bookmarkStart w:id="31" w:name="_Toc29484"/>
      <w:r>
        <w:rPr>
          <w:rFonts w:hint="eastAsia" w:ascii="宋体" w:hAnsi="宋体" w:eastAsia="宋体" w:cs="宋体"/>
          <w:color w:val="auto"/>
          <w:sz w:val="30"/>
          <w:szCs w:val="30"/>
          <w:highlight w:val="none"/>
        </w:rPr>
        <w:t>第三章  评审方法及标准</w:t>
      </w:r>
      <w:bookmarkEnd w:id="31"/>
    </w:p>
    <w:p w14:paraId="3820DCE8">
      <w:pPr>
        <w:topLinePunct/>
        <w:autoSpaceDE w:val="0"/>
        <w:autoSpaceDN w:val="0"/>
        <w:adjustRightInd w:val="0"/>
        <w:snapToGrid w:val="0"/>
        <w:spacing w:after="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1.评审方法</w:t>
      </w:r>
    </w:p>
    <w:p w14:paraId="3B0D39AB">
      <w:pPr>
        <w:widowControl/>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本项目评审方法：</w:t>
      </w:r>
      <w:r>
        <w:rPr>
          <w:rFonts w:hint="eastAsia" w:ascii="宋体" w:hAnsi="宋体" w:eastAsia="宋体" w:cs="宋体"/>
          <w:b/>
          <w:color w:val="auto"/>
          <w:sz w:val="21"/>
          <w:szCs w:val="21"/>
          <w:highlight w:val="none"/>
          <w:u w:val="single"/>
        </w:rPr>
        <w:t>采用综合评分法</w:t>
      </w:r>
    </w:p>
    <w:p w14:paraId="44A1A17F">
      <w:pPr>
        <w:topLinePunct/>
        <w:autoSpaceDE w:val="0"/>
        <w:autoSpaceDN w:val="0"/>
        <w:adjustRightInd w:val="0"/>
        <w:snapToGrid w:val="0"/>
        <w:spacing w:after="0"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2.评分标准</w:t>
      </w:r>
    </w:p>
    <w:p w14:paraId="44083719">
      <w:pPr>
        <w:pStyle w:val="24"/>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本项目</w:t>
      </w:r>
      <w:r>
        <w:rPr>
          <w:rFonts w:hint="eastAsia" w:ascii="宋体" w:hAnsi="宋体" w:eastAsia="宋体" w:cs="宋体"/>
          <w:b/>
          <w:color w:val="auto"/>
          <w:sz w:val="21"/>
          <w:szCs w:val="21"/>
          <w:highlight w:val="none"/>
          <w:u w:val="single"/>
        </w:rPr>
        <w:t>采用</w:t>
      </w:r>
      <w:r>
        <w:rPr>
          <w:rFonts w:hint="eastAsia" w:ascii="宋体" w:hAnsi="宋体" w:eastAsia="宋体" w:cs="宋体"/>
          <w:b/>
          <w:color w:val="auto"/>
          <w:sz w:val="21"/>
          <w:szCs w:val="21"/>
          <w:highlight w:val="none"/>
          <w:u w:val="single"/>
          <w:lang w:eastAsia="zh-CN"/>
        </w:rPr>
        <w:t>百分制</w:t>
      </w:r>
      <w:r>
        <w:rPr>
          <w:rFonts w:hint="eastAsia" w:ascii="宋体" w:hAnsi="宋体" w:eastAsia="宋体" w:cs="宋体"/>
          <w:b/>
          <w:color w:val="auto"/>
          <w:sz w:val="21"/>
          <w:szCs w:val="21"/>
          <w:highlight w:val="none"/>
          <w:u w:val="single"/>
        </w:rPr>
        <w:t>综合评分法</w:t>
      </w:r>
      <w:r>
        <w:rPr>
          <w:rFonts w:hint="eastAsia" w:ascii="宋体" w:hAnsi="宋体" w:eastAsia="宋体" w:cs="宋体"/>
          <w:color w:val="auto"/>
          <w:sz w:val="21"/>
          <w:szCs w:val="21"/>
          <w:highlight w:val="none"/>
        </w:rPr>
        <w:t>进行评分，综合评分法是指响应文件满足</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文件全部实质性要求，且按照评审因素的量化指标评审得分最高的供应商为成交候选供应商的评审方法。评审因素主要内容如下表。</w:t>
      </w:r>
    </w:p>
    <w:p w14:paraId="39B03128">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本项目价格分值为</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分，其余评审因素分值为</w:t>
      </w:r>
      <w:r>
        <w:rPr>
          <w:rFonts w:hint="eastAsia" w:ascii="宋体" w:hAnsi="宋体" w:eastAsia="宋体" w:cs="宋体"/>
          <w:color w:val="auto"/>
          <w:sz w:val="21"/>
          <w:szCs w:val="21"/>
          <w:highlight w:val="none"/>
          <w:u w:val="single"/>
          <w:lang w:val="en-US" w:eastAsia="zh-CN"/>
        </w:rPr>
        <w:t>70</w:t>
      </w:r>
      <w:r>
        <w:rPr>
          <w:rFonts w:hint="eastAsia" w:ascii="宋体" w:hAnsi="宋体" w:eastAsia="宋体" w:cs="宋体"/>
          <w:color w:val="auto"/>
          <w:sz w:val="21"/>
          <w:szCs w:val="21"/>
          <w:highlight w:val="none"/>
        </w:rPr>
        <w:t>分。评审标准如下表：</w:t>
      </w:r>
    </w:p>
    <w:tbl>
      <w:tblPr>
        <w:tblStyle w:val="15"/>
        <w:tblW w:w="89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3"/>
        <w:gridCol w:w="1217"/>
        <w:gridCol w:w="791"/>
        <w:gridCol w:w="5685"/>
        <w:gridCol w:w="757"/>
      </w:tblGrid>
      <w:tr w14:paraId="209A5A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4DC578B">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17" w:type="dxa"/>
            <w:tcBorders>
              <w:top w:val="single" w:color="auto" w:sz="4" w:space="0"/>
              <w:left w:val="single" w:color="auto" w:sz="4" w:space="0"/>
              <w:bottom w:val="single" w:color="auto" w:sz="4" w:space="0"/>
              <w:right w:val="single" w:color="auto" w:sz="4" w:space="0"/>
            </w:tcBorders>
            <w:vAlign w:val="center"/>
          </w:tcPr>
          <w:p w14:paraId="71B3B566">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91" w:type="dxa"/>
            <w:tcBorders>
              <w:top w:val="single" w:color="auto" w:sz="4" w:space="0"/>
              <w:left w:val="single" w:color="auto" w:sz="4" w:space="0"/>
              <w:bottom w:val="single" w:color="auto" w:sz="4" w:space="0"/>
              <w:right w:val="single" w:color="auto" w:sz="4" w:space="0"/>
            </w:tcBorders>
            <w:vAlign w:val="center"/>
          </w:tcPr>
          <w:p w14:paraId="700B41A3">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主要内容</w:t>
            </w:r>
          </w:p>
        </w:tc>
        <w:tc>
          <w:tcPr>
            <w:tcW w:w="5685" w:type="dxa"/>
            <w:tcBorders>
              <w:top w:val="single" w:color="auto" w:sz="4" w:space="0"/>
              <w:left w:val="single" w:color="auto" w:sz="4" w:space="0"/>
              <w:bottom w:val="single" w:color="auto" w:sz="4" w:space="0"/>
              <w:right w:val="single" w:color="auto" w:sz="4" w:space="0"/>
            </w:tcBorders>
            <w:vAlign w:val="center"/>
          </w:tcPr>
          <w:p w14:paraId="085975F6">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指标要求</w:t>
            </w:r>
          </w:p>
        </w:tc>
        <w:tc>
          <w:tcPr>
            <w:tcW w:w="757" w:type="dxa"/>
            <w:tcBorders>
              <w:top w:val="single" w:color="auto" w:sz="4" w:space="0"/>
              <w:left w:val="single" w:color="auto" w:sz="4" w:space="0"/>
              <w:bottom w:val="single" w:color="auto" w:sz="4" w:space="0"/>
              <w:right w:val="single" w:color="auto" w:sz="4" w:space="0"/>
            </w:tcBorders>
            <w:vAlign w:val="center"/>
          </w:tcPr>
          <w:p w14:paraId="431AD53C">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细项</w:t>
            </w:r>
          </w:p>
          <w:p w14:paraId="3067C41F">
            <w:pPr>
              <w:widowControl/>
              <w:overflowPunct w:val="0"/>
              <w:autoSpaceDE w:val="0"/>
              <w:autoSpaceDN w:val="0"/>
              <w:adjustRightInd w:val="0"/>
              <w:spacing w:after="0" w:line="24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5E330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vAlign w:val="center"/>
          </w:tcPr>
          <w:p w14:paraId="04A60610">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217" w:type="dxa"/>
            <w:tcBorders>
              <w:top w:val="single" w:color="auto" w:sz="4" w:space="0"/>
              <w:left w:val="single" w:color="auto" w:sz="4" w:space="0"/>
              <w:bottom w:val="single" w:color="auto" w:sz="4" w:space="0"/>
              <w:right w:val="single" w:color="auto" w:sz="4" w:space="0"/>
            </w:tcBorders>
            <w:vAlign w:val="center"/>
          </w:tcPr>
          <w:p w14:paraId="73210FAE">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w:t>
            </w:r>
            <w:r>
              <w:rPr>
                <w:rFonts w:hint="eastAsia" w:ascii="宋体" w:hAnsi="宋体" w:eastAsia="宋体" w:cs="宋体"/>
                <w:color w:val="auto"/>
                <w:sz w:val="21"/>
                <w:szCs w:val="21"/>
                <w:highlight w:val="none"/>
                <w:lang w:val="en-US" w:eastAsia="zh-CN"/>
              </w:rPr>
              <w:t>30分</w:t>
            </w:r>
            <w:r>
              <w:rPr>
                <w:rFonts w:hint="eastAsia" w:ascii="宋体" w:hAnsi="宋体" w:eastAsia="宋体" w:cs="宋体"/>
                <w:color w:val="auto"/>
                <w:sz w:val="21"/>
                <w:szCs w:val="21"/>
                <w:highlight w:val="none"/>
                <w:lang w:val="zh-CN"/>
              </w:rPr>
              <w:t>）</w:t>
            </w:r>
          </w:p>
        </w:tc>
        <w:tc>
          <w:tcPr>
            <w:tcW w:w="791" w:type="dxa"/>
            <w:tcBorders>
              <w:top w:val="single" w:color="auto" w:sz="4" w:space="0"/>
              <w:left w:val="single" w:color="auto" w:sz="4" w:space="0"/>
              <w:bottom w:val="single" w:color="auto" w:sz="4" w:space="0"/>
              <w:right w:val="single" w:color="auto" w:sz="4" w:space="0"/>
            </w:tcBorders>
            <w:vAlign w:val="center"/>
          </w:tcPr>
          <w:p w14:paraId="4E503491">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价 格</w:t>
            </w:r>
            <w:r>
              <w:rPr>
                <w:rFonts w:hint="eastAsia" w:ascii="宋体" w:hAnsi="宋体" w:eastAsia="宋体" w:cs="宋体"/>
                <w:color w:val="auto"/>
                <w:sz w:val="21"/>
                <w:szCs w:val="21"/>
                <w:highlight w:val="none"/>
                <w:lang w:val="en-US" w:eastAsia="zh-CN"/>
              </w:rPr>
              <w:t>分</w:t>
            </w:r>
          </w:p>
        </w:tc>
        <w:tc>
          <w:tcPr>
            <w:tcW w:w="5685" w:type="dxa"/>
            <w:tcBorders>
              <w:top w:val="single" w:color="auto" w:sz="4" w:space="0"/>
              <w:left w:val="single" w:color="auto" w:sz="4" w:space="0"/>
              <w:bottom w:val="single" w:color="auto" w:sz="4" w:space="0"/>
              <w:right w:val="single" w:color="auto" w:sz="4" w:space="0"/>
            </w:tcBorders>
            <w:vAlign w:val="center"/>
          </w:tcPr>
          <w:p w14:paraId="3FDDE148">
            <w:pPr>
              <w:pStyle w:val="24"/>
              <w:widowControl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w:t>
            </w:r>
            <w:r>
              <w:rPr>
                <w:rFonts w:hint="eastAsia" w:ascii="宋体" w:hAnsi="宋体" w:eastAsia="宋体" w:cs="宋体"/>
                <w:color w:val="auto"/>
                <w:sz w:val="21"/>
                <w:szCs w:val="21"/>
                <w:highlight w:val="none"/>
                <w:shd w:val="clear"/>
              </w:rPr>
              <w:t>（</w:t>
            </w:r>
            <w:r>
              <w:rPr>
                <w:rFonts w:hint="eastAsia" w:ascii="宋体" w:hAnsi="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1-</w:t>
            </w:r>
            <w:r>
              <w:rPr>
                <w:rFonts w:hint="eastAsia" w:ascii="宋体" w:hAnsi="宋体" w:eastAsia="宋体" w:cs="宋体"/>
                <w:color w:val="auto"/>
                <w:sz w:val="21"/>
                <w:szCs w:val="21"/>
                <w:highlight w:val="none"/>
                <w:shd w:val="clear"/>
              </w:rPr>
              <w:t>磋商基准价</w:t>
            </w:r>
            <w:r>
              <w:rPr>
                <w:rFonts w:hint="eastAsia" w:ascii="宋体" w:hAnsi="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rPr>
              <w:t>／</w:t>
            </w:r>
            <w:r>
              <w:rPr>
                <w:rFonts w:hint="eastAsia" w:ascii="宋体" w:hAnsi="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lang w:val="en-US" w:eastAsia="zh-CN"/>
              </w:rPr>
              <w:t>1-</w:t>
            </w:r>
            <w:r>
              <w:rPr>
                <w:rFonts w:hint="eastAsia" w:ascii="宋体" w:hAnsi="宋体" w:eastAsia="宋体" w:cs="宋体"/>
                <w:color w:val="auto"/>
                <w:sz w:val="21"/>
                <w:szCs w:val="21"/>
                <w:highlight w:val="none"/>
                <w:shd w:val="clear"/>
              </w:rPr>
              <w:t>最后磋商报价</w:t>
            </w:r>
            <w:r>
              <w:rPr>
                <w:rFonts w:hint="eastAsia" w:ascii="宋体" w:hAnsi="宋体" w:cs="宋体"/>
                <w:color w:val="auto"/>
                <w:sz w:val="21"/>
                <w:szCs w:val="21"/>
                <w:highlight w:val="none"/>
                <w:shd w:val="clear"/>
                <w:lang w:eastAsia="zh-CN"/>
              </w:rPr>
              <w:t>）</w:t>
            </w:r>
            <w:r>
              <w:rPr>
                <w:rFonts w:hint="eastAsia" w:ascii="宋体" w:hAnsi="宋体" w:eastAsia="宋体" w:cs="宋体"/>
                <w:color w:val="auto"/>
                <w:sz w:val="21"/>
                <w:szCs w:val="21"/>
                <w:highlight w:val="none"/>
                <w:shd w:val="clear"/>
              </w:rPr>
              <w:t>）× 满分值</w:t>
            </w:r>
          </w:p>
          <w:p w14:paraId="27A655D0">
            <w:pPr>
              <w:pStyle w:val="24"/>
              <w:widowControl w:val="0"/>
              <w:overflowPunct w:val="0"/>
              <w:autoSpaceDE w:val="0"/>
              <w:autoSpaceDN w:val="0"/>
              <w:adjustRightInd w:val="0"/>
              <w:spacing w:after="0"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磋商基准价为满足磋商文件要求且最后报价</w:t>
            </w:r>
            <w:r>
              <w:rPr>
                <w:rFonts w:hint="eastAsia" w:ascii="宋体" w:hAnsi="宋体" w:eastAsia="宋体" w:cs="宋体"/>
                <w:color w:val="auto"/>
                <w:sz w:val="21"/>
                <w:szCs w:val="21"/>
                <w:highlight w:val="none"/>
                <w:lang w:eastAsia="zh-CN"/>
              </w:rPr>
              <w:t>下浮系数最大</w:t>
            </w:r>
            <w:r>
              <w:rPr>
                <w:rFonts w:hint="eastAsia" w:ascii="宋体" w:hAnsi="宋体" w:eastAsia="宋体" w:cs="宋体"/>
                <w:color w:val="auto"/>
                <w:sz w:val="21"/>
                <w:szCs w:val="21"/>
                <w:highlight w:val="none"/>
              </w:rPr>
              <w:t>的供应商的</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lang w:val="en-US" w:eastAsia="zh-CN"/>
              </w:rPr>
              <w:t>如 A供应商下浮系数报价为 1 %；B 供应商下浮系数报价为 2 %，则 B 供应商的下浮系数报价高，磋商报价最低，作为基准价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4285014D">
            <w:pPr>
              <w:pStyle w:val="24"/>
              <w:widowControl w:val="0"/>
              <w:overflowPunct w:val="0"/>
              <w:autoSpaceDE w:val="0"/>
              <w:autoSpaceDN w:val="0"/>
              <w:adjustRightInd w:val="0"/>
              <w:spacing w:after="0" w:line="360" w:lineRule="auto"/>
              <w:jc w:val="both"/>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本项目为专门面对中小企业项目，按照《政府采购促进中小企业发展管理办法》（财库〔2020〕46 号）规定，小微企业、监狱企业、残疾人福利性单位不再执行价格评审优惠的扶持政策。</w:t>
            </w:r>
          </w:p>
        </w:tc>
        <w:tc>
          <w:tcPr>
            <w:tcW w:w="757" w:type="dxa"/>
            <w:tcBorders>
              <w:top w:val="single" w:color="auto" w:sz="4" w:space="0"/>
              <w:left w:val="single" w:color="auto" w:sz="4" w:space="0"/>
              <w:bottom w:val="single" w:color="auto" w:sz="4" w:space="0"/>
              <w:right w:val="single" w:color="auto" w:sz="4" w:space="0"/>
            </w:tcBorders>
            <w:vAlign w:val="center"/>
          </w:tcPr>
          <w:p w14:paraId="5BE04A77">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r>
      <w:tr w14:paraId="1AF9C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3492335D">
            <w:pPr>
              <w:widowControl/>
              <w:overflowPunct w:val="0"/>
              <w:autoSpaceDE w:val="0"/>
              <w:autoSpaceDN w:val="0"/>
              <w:adjustRightInd w:val="0"/>
              <w:spacing w:after="0" w:line="360" w:lineRule="auto"/>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w:t>
            </w:r>
          </w:p>
        </w:tc>
        <w:tc>
          <w:tcPr>
            <w:tcW w:w="1217" w:type="dxa"/>
            <w:vMerge w:val="restart"/>
            <w:tcBorders>
              <w:top w:val="single" w:color="auto" w:sz="4" w:space="0"/>
              <w:left w:val="single" w:color="auto" w:sz="4" w:space="0"/>
              <w:right w:val="single" w:color="auto" w:sz="4" w:space="0"/>
            </w:tcBorders>
            <w:vAlign w:val="center"/>
          </w:tcPr>
          <w:p w14:paraId="575CAB63">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技术因素（</w:t>
            </w:r>
            <w:r>
              <w:rPr>
                <w:rFonts w:hint="eastAsia" w:ascii="宋体" w:hAnsi="宋体" w:cs="宋体"/>
                <w:color w:val="auto"/>
                <w:sz w:val="21"/>
                <w:szCs w:val="21"/>
                <w:highlight w:val="none"/>
                <w:lang w:val="en-US" w:eastAsia="zh-CN"/>
              </w:rPr>
              <w:t>61</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791" w:type="dxa"/>
            <w:tcBorders>
              <w:top w:val="single" w:color="auto" w:sz="4" w:space="0"/>
              <w:left w:val="single" w:color="auto" w:sz="4" w:space="0"/>
              <w:bottom w:val="single" w:color="auto" w:sz="4" w:space="0"/>
              <w:right w:val="single" w:color="auto" w:sz="4" w:space="0"/>
            </w:tcBorders>
            <w:vAlign w:val="center"/>
          </w:tcPr>
          <w:p w14:paraId="7763C0B6">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实施方案（</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tc>
        <w:tc>
          <w:tcPr>
            <w:tcW w:w="5685" w:type="dxa"/>
            <w:tcBorders>
              <w:top w:val="single" w:color="auto" w:sz="4" w:space="0"/>
              <w:left w:val="single" w:color="auto" w:sz="4" w:space="0"/>
              <w:bottom w:val="single" w:color="auto" w:sz="4" w:space="0"/>
              <w:right w:val="single" w:color="auto" w:sz="4" w:space="0"/>
            </w:tcBorders>
            <w:vAlign w:val="center"/>
          </w:tcPr>
          <w:p w14:paraId="06178C51">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磋商小组根据供应商的实施方案，</w:t>
            </w:r>
            <w:r>
              <w:rPr>
                <w:rFonts w:hint="eastAsia" w:ascii="宋体" w:hAnsi="宋体" w:eastAsia="宋体" w:cs="宋体"/>
                <w:color w:val="auto"/>
                <w:sz w:val="21"/>
                <w:szCs w:val="21"/>
                <w:highlight w:val="none"/>
                <w:lang w:val="zh-CN"/>
              </w:rPr>
              <w:t>包括但不限于：</w:t>
            </w:r>
            <w:r>
              <w:rPr>
                <w:rFonts w:hint="eastAsia" w:ascii="宋体" w:hAnsi="宋体" w:eastAsia="宋体" w:cs="宋体"/>
                <w:color w:val="auto"/>
                <w:sz w:val="21"/>
                <w:szCs w:val="21"/>
                <w:highlight w:val="none"/>
                <w:lang w:val="zh-CN" w:eastAsia="zh-CN"/>
              </w:rPr>
              <w:t>食材采买环节</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配送</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内容进行评</w:t>
            </w:r>
            <w:r>
              <w:rPr>
                <w:rFonts w:hint="eastAsia" w:ascii="宋体" w:hAnsi="宋体" w:eastAsia="宋体" w:cs="宋体"/>
                <w:color w:val="auto"/>
                <w:sz w:val="21"/>
                <w:szCs w:val="21"/>
                <w:highlight w:val="none"/>
                <w:lang w:val="zh-CN"/>
              </w:rPr>
              <w:t>价</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以下各项不重复计分：</w:t>
            </w:r>
          </w:p>
          <w:p w14:paraId="01585381">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实施</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在完全满足采购需求中</w:t>
            </w:r>
            <w:r>
              <w:rPr>
                <w:rFonts w:hint="eastAsia" w:ascii="宋体" w:hAnsi="宋体" w:eastAsia="宋体" w:cs="宋体"/>
                <w:color w:val="auto"/>
                <w:sz w:val="21"/>
                <w:szCs w:val="21"/>
                <w:highlight w:val="none"/>
                <w:lang w:val="zh-CN"/>
              </w:rPr>
              <w:t>项目</w:t>
            </w:r>
            <w:r>
              <w:rPr>
                <w:rFonts w:hint="eastAsia" w:ascii="宋体" w:hAnsi="宋体" w:eastAsia="宋体" w:cs="宋体"/>
                <w:color w:val="auto"/>
                <w:sz w:val="21"/>
                <w:szCs w:val="21"/>
                <w:highlight w:val="none"/>
                <w:lang w:val="zh-CN" w:eastAsia="zh-CN"/>
              </w:rPr>
              <w:t>总体</w:t>
            </w:r>
            <w:r>
              <w:rPr>
                <w:rFonts w:hint="eastAsia" w:ascii="宋体" w:hAnsi="宋体" w:eastAsia="宋体" w:cs="宋体"/>
                <w:color w:val="auto"/>
                <w:sz w:val="21"/>
                <w:szCs w:val="21"/>
                <w:highlight w:val="none"/>
                <w:lang w:val="zh-CN"/>
              </w:rPr>
              <w:t>需求</w:t>
            </w:r>
            <w:r>
              <w:rPr>
                <w:rFonts w:hint="eastAsia" w:ascii="宋体" w:hAnsi="宋体" w:eastAsia="宋体" w:cs="宋体"/>
                <w:color w:val="auto"/>
                <w:sz w:val="21"/>
                <w:szCs w:val="21"/>
                <w:highlight w:val="none"/>
                <w:lang w:val="zh-CN" w:eastAsia="zh-CN"/>
              </w:rPr>
              <w:t>的前提下，实施</w:t>
            </w:r>
            <w:r>
              <w:rPr>
                <w:rFonts w:hint="eastAsia" w:ascii="宋体" w:hAnsi="宋体" w:eastAsia="宋体" w:cs="宋体"/>
                <w:color w:val="auto"/>
                <w:sz w:val="21"/>
                <w:szCs w:val="21"/>
                <w:highlight w:val="none"/>
                <w:lang w:val="zh-CN"/>
              </w:rPr>
              <w:t>方案包含</w:t>
            </w:r>
            <w:r>
              <w:rPr>
                <w:rFonts w:hint="eastAsia" w:ascii="宋体" w:hAnsi="宋体" w:eastAsia="宋体" w:cs="宋体"/>
                <w:color w:val="auto"/>
                <w:sz w:val="21"/>
                <w:szCs w:val="21"/>
                <w:highlight w:val="none"/>
                <w:lang w:val="zh-CN" w:eastAsia="zh-CN"/>
              </w:rPr>
              <w:t>有食材采买环节</w:t>
            </w:r>
            <w:r>
              <w:rPr>
                <w:rFonts w:hint="eastAsia" w:ascii="宋体" w:hAnsi="宋体" w:eastAsia="宋体" w:cs="宋体"/>
                <w:color w:val="auto"/>
                <w:sz w:val="21"/>
                <w:szCs w:val="21"/>
                <w:highlight w:val="none"/>
                <w:lang w:val="zh-CN"/>
              </w:rPr>
              <w:t>方案、</w:t>
            </w:r>
            <w:r>
              <w:rPr>
                <w:rFonts w:hint="eastAsia" w:ascii="宋体" w:hAnsi="宋体" w:eastAsia="宋体" w:cs="宋体"/>
                <w:color w:val="auto"/>
                <w:sz w:val="21"/>
                <w:szCs w:val="21"/>
                <w:highlight w:val="none"/>
                <w:lang w:val="zh-CN" w:eastAsia="zh-CN"/>
              </w:rPr>
              <w:t>配送</w:t>
            </w:r>
            <w:r>
              <w:rPr>
                <w:rFonts w:hint="eastAsia" w:ascii="宋体" w:hAnsi="宋体" w:eastAsia="宋体" w:cs="宋体"/>
                <w:color w:val="auto"/>
                <w:sz w:val="21"/>
                <w:szCs w:val="21"/>
                <w:highlight w:val="none"/>
                <w:lang w:val="zh-CN"/>
              </w:rPr>
              <w:t>方案，得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p w14:paraId="774E2106">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②在本项①基础上，</w:t>
            </w:r>
            <w:r>
              <w:rPr>
                <w:rFonts w:hint="eastAsia" w:ascii="宋体" w:hAnsi="宋体" w:eastAsia="宋体" w:cs="宋体"/>
                <w:color w:val="auto"/>
                <w:sz w:val="21"/>
                <w:szCs w:val="21"/>
                <w:highlight w:val="none"/>
                <w:lang w:val="zh-CN" w:eastAsia="zh-CN"/>
              </w:rPr>
              <w:t>食材采买</w:t>
            </w:r>
            <w:r>
              <w:rPr>
                <w:rFonts w:hint="eastAsia" w:ascii="宋体" w:hAnsi="宋体" w:eastAsia="宋体" w:cs="宋体"/>
                <w:color w:val="auto"/>
                <w:sz w:val="21"/>
                <w:szCs w:val="21"/>
                <w:highlight w:val="none"/>
                <w:lang w:val="zh-CN"/>
              </w:rPr>
              <w:t>流程完善清晰，标准明确，内容详实可行；</w:t>
            </w:r>
            <w:r>
              <w:rPr>
                <w:rFonts w:hint="eastAsia" w:ascii="宋体" w:hAnsi="宋体" w:eastAsia="宋体" w:cs="宋体"/>
                <w:color w:val="auto"/>
                <w:sz w:val="21"/>
                <w:szCs w:val="21"/>
                <w:highlight w:val="none"/>
                <w:lang w:val="zh-CN" w:eastAsia="zh-CN"/>
              </w:rPr>
              <w:t>有</w:t>
            </w:r>
            <w:r>
              <w:rPr>
                <w:rFonts w:hint="eastAsia" w:ascii="宋体" w:hAnsi="宋体" w:eastAsia="宋体" w:cs="宋体"/>
                <w:color w:val="auto"/>
                <w:sz w:val="21"/>
                <w:szCs w:val="21"/>
                <w:highlight w:val="none"/>
                <w:lang w:val="zh-CN"/>
              </w:rPr>
              <w:t>完善的配送</w:t>
            </w:r>
            <w:r>
              <w:rPr>
                <w:rFonts w:hint="eastAsia" w:ascii="宋体" w:hAnsi="宋体" w:eastAsia="宋体" w:cs="宋体"/>
                <w:color w:val="auto"/>
                <w:sz w:val="21"/>
                <w:szCs w:val="21"/>
                <w:highlight w:val="none"/>
                <w:lang w:val="zh-CN" w:eastAsia="zh-CN"/>
              </w:rPr>
              <w:t>流程、</w:t>
            </w:r>
            <w:r>
              <w:rPr>
                <w:rFonts w:hint="eastAsia" w:ascii="宋体" w:hAnsi="宋体" w:eastAsia="宋体" w:cs="宋体"/>
                <w:color w:val="auto"/>
                <w:sz w:val="21"/>
                <w:szCs w:val="21"/>
                <w:highlight w:val="none"/>
                <w:lang w:val="zh-CN"/>
              </w:rPr>
              <w:t>配送效率、服务机构网点设置、保障措施等内容，配送供货时间安排合理</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 xml:space="preserve">得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 xml:space="preserve"> 分</w:t>
            </w:r>
            <w:r>
              <w:rPr>
                <w:rFonts w:hint="eastAsia" w:ascii="宋体" w:hAnsi="宋体" w:eastAsia="宋体" w:cs="宋体"/>
                <w:color w:val="auto"/>
                <w:sz w:val="21"/>
                <w:szCs w:val="21"/>
                <w:highlight w:val="none"/>
                <w:lang w:val="zh-CN" w:eastAsia="zh-CN"/>
              </w:rPr>
              <w:t>；</w:t>
            </w:r>
          </w:p>
          <w:p w14:paraId="4B37F137">
            <w:pPr>
              <w:spacing w:line="36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 xml:space="preserve"> ③在本项②基础上，</w:t>
            </w:r>
            <w:r>
              <w:rPr>
                <w:rFonts w:hint="eastAsia" w:ascii="宋体" w:hAnsi="宋体" w:eastAsia="宋体" w:cs="宋体"/>
                <w:color w:val="auto"/>
                <w:sz w:val="21"/>
                <w:szCs w:val="21"/>
                <w:highlight w:val="none"/>
                <w:lang w:val="zh-CN" w:eastAsia="zh-CN"/>
              </w:rPr>
              <w:t>食材采买环节</w:t>
            </w:r>
            <w:r>
              <w:rPr>
                <w:rFonts w:hint="eastAsia" w:ascii="宋体" w:hAnsi="宋体" w:eastAsia="宋体" w:cs="宋体"/>
                <w:color w:val="auto"/>
                <w:sz w:val="21"/>
                <w:szCs w:val="21"/>
                <w:highlight w:val="none"/>
                <w:lang w:val="zh-CN"/>
              </w:rPr>
              <w:t>方案能针对货源管理提出针对性保障措施，</w:t>
            </w:r>
            <w:r>
              <w:rPr>
                <w:rFonts w:hint="eastAsia" w:ascii="宋体" w:hAnsi="宋体" w:eastAsia="宋体" w:cs="宋体"/>
                <w:color w:val="auto"/>
                <w:sz w:val="21"/>
                <w:szCs w:val="21"/>
                <w:highlight w:val="none"/>
                <w:lang w:val="zh-CN" w:eastAsia="zh-CN"/>
              </w:rPr>
              <w:t>详细阐述食材</w:t>
            </w:r>
            <w:r>
              <w:rPr>
                <w:rFonts w:hint="eastAsia" w:ascii="宋体" w:hAnsi="宋体" w:eastAsia="宋体" w:cs="宋体"/>
                <w:color w:val="auto"/>
                <w:sz w:val="21"/>
                <w:szCs w:val="21"/>
                <w:highlight w:val="none"/>
                <w:lang w:val="zh-CN"/>
              </w:rPr>
              <w:t>进货渠道</w:t>
            </w:r>
            <w:r>
              <w:rPr>
                <w:rFonts w:hint="eastAsia" w:ascii="宋体" w:hAnsi="宋体" w:eastAsia="宋体" w:cs="宋体"/>
                <w:color w:val="auto"/>
                <w:sz w:val="21"/>
                <w:szCs w:val="21"/>
                <w:highlight w:val="none"/>
                <w:lang w:val="zh-CN" w:eastAsia="zh-CN"/>
              </w:rPr>
              <w:t>的选择及保障</w:t>
            </w:r>
            <w:r>
              <w:rPr>
                <w:rFonts w:hint="eastAsia" w:ascii="宋体" w:hAnsi="宋体" w:eastAsia="宋体" w:cs="宋体"/>
                <w:color w:val="auto"/>
                <w:sz w:val="21"/>
                <w:szCs w:val="21"/>
                <w:highlight w:val="none"/>
                <w:lang w:val="zh-CN"/>
              </w:rPr>
              <w:t>、进货单据管理</w:t>
            </w:r>
            <w:r>
              <w:rPr>
                <w:rFonts w:hint="eastAsia" w:ascii="宋体" w:hAnsi="宋体" w:eastAsia="宋体" w:cs="宋体"/>
                <w:color w:val="auto"/>
                <w:sz w:val="21"/>
                <w:szCs w:val="21"/>
                <w:highlight w:val="none"/>
                <w:lang w:val="zh-CN" w:eastAsia="zh-CN"/>
              </w:rPr>
              <w:t>规范，做到对食品溯源清晰明确</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配送</w:t>
            </w:r>
            <w:r>
              <w:rPr>
                <w:rFonts w:hint="eastAsia" w:ascii="宋体" w:hAnsi="宋体" w:eastAsia="宋体" w:cs="宋体"/>
                <w:color w:val="auto"/>
                <w:sz w:val="21"/>
                <w:szCs w:val="21"/>
                <w:highlight w:val="none"/>
                <w:lang w:val="zh-CN"/>
              </w:rPr>
              <w:t>方案能提供相应的流程图，并列明各流程直接责任人以及人员的联系方式</w:t>
            </w:r>
            <w:r>
              <w:rPr>
                <w:rFonts w:hint="eastAsia" w:ascii="宋体" w:hAnsi="宋体" w:eastAsia="宋体" w:cs="宋体"/>
                <w:color w:val="auto"/>
                <w:sz w:val="21"/>
                <w:szCs w:val="21"/>
                <w:highlight w:val="none"/>
                <w:lang w:val="zh-CN" w:eastAsia="zh-CN"/>
              </w:rPr>
              <w:t xml:space="preserve">，得 </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 xml:space="preserve"> 分。</w:t>
            </w:r>
          </w:p>
          <w:p w14:paraId="2173EFA9">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注：供应商不提供实施方案或提供的实施方案未达</w:t>
            </w: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标准的，计0分。</w:t>
            </w:r>
          </w:p>
        </w:tc>
        <w:tc>
          <w:tcPr>
            <w:tcW w:w="757" w:type="dxa"/>
            <w:tcBorders>
              <w:top w:val="single" w:color="auto" w:sz="4" w:space="0"/>
              <w:left w:val="single" w:color="auto" w:sz="4" w:space="0"/>
              <w:bottom w:val="single" w:color="auto" w:sz="4" w:space="0"/>
              <w:right w:val="single" w:color="auto" w:sz="4" w:space="0"/>
            </w:tcBorders>
            <w:vAlign w:val="center"/>
          </w:tcPr>
          <w:p w14:paraId="6D1EE240">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2AFB2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79CBA1CA">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217" w:type="dxa"/>
            <w:vMerge w:val="continue"/>
            <w:tcBorders>
              <w:left w:val="single" w:color="auto" w:sz="4" w:space="0"/>
              <w:right w:val="single" w:color="auto" w:sz="4" w:space="0"/>
            </w:tcBorders>
            <w:vAlign w:val="center"/>
          </w:tcPr>
          <w:p w14:paraId="12E929C4">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21682E70">
            <w:pPr>
              <w:widowControl/>
              <w:overflowPunct w:val="0"/>
              <w:autoSpaceDE w:val="0"/>
              <w:autoSpaceDN w:val="0"/>
              <w:adjustRightInd w:val="0"/>
              <w:spacing w:after="0" w:line="360" w:lineRule="auto"/>
              <w:jc w:val="center"/>
              <w:textAlignment w:val="baseline"/>
              <w:rPr>
                <w:rFonts w:hint="eastAsia" w:ascii="宋体" w:hAnsi="宋体" w:eastAsia="宋体" w:cs="FangSong_GB2312"/>
                <w:color w:val="auto"/>
                <w:sz w:val="21"/>
                <w:szCs w:val="21"/>
                <w:highlight w:val="none"/>
                <w:lang w:val="zh-CN"/>
              </w:rPr>
            </w:pPr>
            <w:r>
              <w:rPr>
                <w:rFonts w:hint="eastAsia" w:hAnsi="宋体" w:cs="宋体"/>
                <w:color w:val="auto"/>
                <w:sz w:val="21"/>
                <w:szCs w:val="21"/>
                <w:highlight w:val="none"/>
                <w:lang w:eastAsia="zh-CN"/>
              </w:rPr>
              <w:t>食材质量安全</w:t>
            </w:r>
            <w:r>
              <w:rPr>
                <w:rFonts w:hint="eastAsia" w:ascii="宋体" w:hAnsi="宋体" w:eastAsia="宋体" w:cs="FangSong_GB2312"/>
                <w:color w:val="auto"/>
                <w:sz w:val="21"/>
                <w:szCs w:val="21"/>
                <w:highlight w:val="none"/>
                <w:lang w:val="zh-CN"/>
              </w:rPr>
              <w:t>管理方案</w:t>
            </w:r>
          </w:p>
          <w:p w14:paraId="6B02437F">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15分</w:t>
            </w:r>
            <w:r>
              <w:rPr>
                <w:rFonts w:hint="eastAsia" w:ascii="宋体" w:hAnsi="宋体" w:cs="宋体"/>
                <w:color w:val="auto"/>
                <w:kern w:val="0"/>
                <w:szCs w:val="21"/>
                <w:highlight w:val="none"/>
                <w:lang w:eastAsia="zh-CN"/>
              </w:rPr>
              <w:t>）</w:t>
            </w:r>
          </w:p>
        </w:tc>
        <w:tc>
          <w:tcPr>
            <w:tcW w:w="5685" w:type="dxa"/>
            <w:tcBorders>
              <w:top w:val="single" w:color="auto" w:sz="4" w:space="0"/>
              <w:left w:val="single" w:color="auto" w:sz="4" w:space="0"/>
              <w:bottom w:val="single" w:color="auto" w:sz="4" w:space="0"/>
              <w:right w:val="single" w:color="auto" w:sz="4" w:space="0"/>
            </w:tcBorders>
            <w:vAlign w:val="center"/>
          </w:tcPr>
          <w:p w14:paraId="3262417F">
            <w:pPr>
              <w:pStyle w:val="10"/>
              <w:spacing w:line="360" w:lineRule="auto"/>
              <w:rPr>
                <w:rFonts w:hint="eastAsia" w:hAnsi="宋体" w:cs="宋体"/>
                <w:color w:val="auto"/>
                <w:sz w:val="21"/>
                <w:szCs w:val="21"/>
                <w:highlight w:val="none"/>
              </w:rPr>
            </w:pPr>
            <w:r>
              <w:rPr>
                <w:rFonts w:hint="eastAsia" w:hAnsi="宋体" w:cs="宋体"/>
                <w:color w:val="auto"/>
                <w:sz w:val="21"/>
                <w:szCs w:val="21"/>
                <w:highlight w:val="none"/>
                <w:lang w:val="en-US" w:eastAsia="zh-CN"/>
              </w:rPr>
              <w:t>磋商小组</w:t>
            </w:r>
            <w:r>
              <w:rPr>
                <w:rFonts w:hint="eastAsia" w:hAnsi="宋体" w:cs="宋体"/>
                <w:color w:val="auto"/>
                <w:sz w:val="21"/>
                <w:szCs w:val="21"/>
                <w:highlight w:val="none"/>
                <w:lang w:eastAsia="zh-CN"/>
              </w:rPr>
              <w:t>根据</w:t>
            </w:r>
            <w:r>
              <w:rPr>
                <w:rFonts w:hint="eastAsia" w:hAnsi="宋体" w:cs="宋体"/>
                <w:color w:val="auto"/>
                <w:sz w:val="21"/>
                <w:szCs w:val="21"/>
                <w:highlight w:val="none"/>
                <w:lang w:val="en-US" w:eastAsia="zh-CN"/>
              </w:rPr>
              <w:t>供应商</w:t>
            </w:r>
            <w:r>
              <w:rPr>
                <w:rFonts w:hint="eastAsia" w:hAnsi="宋体" w:cs="宋体"/>
                <w:color w:val="auto"/>
                <w:sz w:val="21"/>
                <w:szCs w:val="21"/>
                <w:highlight w:val="none"/>
                <w:lang w:eastAsia="zh-CN"/>
              </w:rPr>
              <w:t>的食材质量安全</w:t>
            </w:r>
            <w:r>
              <w:rPr>
                <w:rFonts w:hint="eastAsia" w:ascii="宋体" w:hAnsi="宋体" w:eastAsia="宋体" w:cs="FangSong_GB2312"/>
                <w:color w:val="auto"/>
                <w:sz w:val="21"/>
                <w:szCs w:val="21"/>
                <w:highlight w:val="none"/>
                <w:lang w:val="zh-CN"/>
              </w:rPr>
              <w:t>管理</w:t>
            </w:r>
            <w:r>
              <w:rPr>
                <w:rFonts w:hint="eastAsia" w:hAnsi="宋体" w:cs="宋体"/>
                <w:color w:val="auto"/>
                <w:sz w:val="21"/>
                <w:szCs w:val="21"/>
                <w:highlight w:val="none"/>
                <w:lang w:eastAsia="zh-CN"/>
              </w:rPr>
              <w:t>方案，</w:t>
            </w:r>
            <w:r>
              <w:rPr>
                <w:rFonts w:hint="eastAsia" w:hAnsi="宋体" w:cs="宋体"/>
                <w:color w:val="auto"/>
                <w:sz w:val="21"/>
                <w:szCs w:val="21"/>
                <w:highlight w:val="none"/>
              </w:rPr>
              <w:t>包括但不限于：</w:t>
            </w:r>
            <w:r>
              <w:rPr>
                <w:rFonts w:hint="eastAsia" w:ascii="宋体" w:hAnsi="宋体" w:eastAsia="宋体" w:cs="宋体"/>
                <w:color w:val="auto"/>
                <w:kern w:val="0"/>
                <w:sz w:val="21"/>
                <w:szCs w:val="21"/>
                <w:highlight w:val="none"/>
                <w:lang w:val="en-US" w:eastAsia="zh-CN" w:bidi="ar"/>
              </w:rPr>
              <w:t>食材质量安全控制措施、质量标准、质量安全管理制度</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检验检疫</w:t>
            </w:r>
            <w:r>
              <w:rPr>
                <w:rFonts w:hint="eastAsia" w:hAnsi="宋体" w:cs="宋体"/>
                <w:color w:val="auto"/>
                <w:sz w:val="21"/>
                <w:szCs w:val="21"/>
                <w:highlight w:val="none"/>
                <w:lang w:eastAsia="zh-CN"/>
              </w:rPr>
              <w:t>流程及</w:t>
            </w:r>
            <w:r>
              <w:rPr>
                <w:rFonts w:hint="eastAsia" w:hAnsi="宋体" w:eastAsia="宋体" w:cs="宋体"/>
                <w:color w:val="auto"/>
                <w:sz w:val="21"/>
                <w:szCs w:val="21"/>
                <w:highlight w:val="none"/>
                <w:lang w:eastAsia="zh-CN"/>
              </w:rPr>
              <w:t>措施</w:t>
            </w:r>
            <w:r>
              <w:rPr>
                <w:rFonts w:hint="eastAsia" w:hAnsi="宋体" w:cs="宋体"/>
                <w:color w:val="auto"/>
                <w:sz w:val="21"/>
                <w:szCs w:val="21"/>
                <w:highlight w:val="none"/>
                <w:lang w:eastAsia="zh-CN"/>
              </w:rPr>
              <w:t>内容进行评</w:t>
            </w:r>
            <w:r>
              <w:rPr>
                <w:rFonts w:hint="eastAsia" w:ascii="宋体" w:hAnsi="宋体" w:cs="宋体"/>
                <w:bCs/>
                <w:color w:val="auto"/>
                <w:kern w:val="0"/>
                <w:szCs w:val="21"/>
                <w:highlight w:val="none"/>
              </w:rPr>
              <w:t>价</w:t>
            </w:r>
            <w:r>
              <w:rPr>
                <w:rFonts w:hint="eastAsia" w:hAnsi="宋体" w:cs="宋体"/>
                <w:color w:val="auto"/>
                <w:sz w:val="21"/>
                <w:szCs w:val="21"/>
                <w:highlight w:val="none"/>
                <w:lang w:eastAsia="zh-CN"/>
              </w:rPr>
              <w:t>。</w:t>
            </w:r>
            <w:r>
              <w:rPr>
                <w:rFonts w:hint="eastAsia" w:hAnsi="宋体" w:cs="宋体"/>
                <w:color w:val="auto"/>
                <w:sz w:val="21"/>
                <w:szCs w:val="21"/>
                <w:highlight w:val="none"/>
              </w:rPr>
              <w:t>以下各项不重复计分：</w:t>
            </w:r>
          </w:p>
          <w:p w14:paraId="557CAD0C">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①</w:t>
            </w:r>
            <w:r>
              <w:rPr>
                <w:rFonts w:hint="eastAsia" w:ascii="Times New Roman" w:hAnsi="Times New Roman" w:cs="Times New Roman"/>
                <w:color w:val="auto"/>
                <w:sz w:val="21"/>
                <w:szCs w:val="21"/>
                <w:highlight w:val="none"/>
                <w:lang w:val="zh-CN"/>
              </w:rPr>
              <w:t>在完全响应采购需求中</w:t>
            </w:r>
            <w:r>
              <w:rPr>
                <w:rFonts w:hint="eastAsia" w:hAnsi="宋体" w:cs="宋体"/>
                <w:color w:val="auto"/>
                <w:sz w:val="21"/>
                <w:szCs w:val="21"/>
                <w:highlight w:val="none"/>
                <w:lang w:eastAsia="zh-CN"/>
              </w:rPr>
              <w:t>食材质量安全要求</w:t>
            </w:r>
            <w:r>
              <w:rPr>
                <w:rFonts w:hint="eastAsia" w:ascii="Calibri" w:hAnsi="宋体" w:cs="宋体"/>
                <w:color w:val="auto"/>
                <w:sz w:val="21"/>
                <w:szCs w:val="21"/>
                <w:highlight w:val="none"/>
                <w:lang w:val="zh-CN"/>
              </w:rPr>
              <w:t>的前提下</w:t>
            </w:r>
            <w:r>
              <w:rPr>
                <w:rFonts w:hint="eastAsia" w:ascii="Times New Roman" w:hAnsi="Times New Roman" w:cs="Times New Roman"/>
                <w:color w:val="auto"/>
                <w:sz w:val="21"/>
                <w:szCs w:val="21"/>
                <w:highlight w:val="none"/>
                <w:lang w:val="zh-CN"/>
              </w:rPr>
              <w:t>，</w:t>
            </w:r>
            <w:r>
              <w:rPr>
                <w:rFonts w:hint="eastAsia" w:ascii="宋体" w:hAnsi="宋体" w:eastAsia="宋体" w:cs="宋体"/>
                <w:color w:val="auto"/>
                <w:kern w:val="0"/>
                <w:sz w:val="21"/>
                <w:szCs w:val="21"/>
                <w:highlight w:val="none"/>
                <w:lang w:val="en-US" w:eastAsia="zh-CN" w:bidi="ar"/>
              </w:rPr>
              <w:t>能提供完善的食材质量安全控制措施、质量标准，得</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分； </w:t>
            </w:r>
          </w:p>
          <w:p w14:paraId="0B297056">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1"/>
                <w:szCs w:val="21"/>
                <w:highlight w:val="none"/>
                <w:lang w:val="en-US" w:eastAsia="zh-CN" w:bidi="ar"/>
              </w:rPr>
              <w:t>②在本项①的基础上，</w:t>
            </w:r>
            <w:r>
              <w:rPr>
                <w:rFonts w:hint="eastAsia" w:hAnsi="宋体" w:cs="宋体"/>
                <w:color w:val="auto"/>
                <w:sz w:val="21"/>
                <w:szCs w:val="21"/>
                <w:highlight w:val="none"/>
                <w:lang w:eastAsia="zh-CN"/>
              </w:rPr>
              <w:t>食材</w:t>
            </w:r>
            <w:r>
              <w:rPr>
                <w:rFonts w:hint="eastAsia" w:hAnsi="宋体" w:cs="宋体"/>
                <w:color w:val="auto"/>
                <w:sz w:val="21"/>
                <w:szCs w:val="21"/>
                <w:highlight w:val="none"/>
                <w:lang w:val="en-US" w:eastAsia="zh-CN"/>
              </w:rPr>
              <w:t>质量</w:t>
            </w:r>
            <w:r>
              <w:rPr>
                <w:rFonts w:hint="eastAsia" w:hAnsi="宋体" w:cs="宋体"/>
                <w:color w:val="auto"/>
                <w:sz w:val="21"/>
                <w:szCs w:val="21"/>
                <w:highlight w:val="none"/>
                <w:lang w:eastAsia="zh-CN"/>
              </w:rPr>
              <w:t>安全管理方案</w:t>
            </w:r>
            <w:r>
              <w:rPr>
                <w:rFonts w:hint="eastAsia" w:ascii="宋体" w:hAnsi="宋体" w:eastAsia="宋体" w:cs="宋体"/>
                <w:color w:val="auto"/>
                <w:kern w:val="0"/>
                <w:sz w:val="21"/>
                <w:szCs w:val="21"/>
                <w:highlight w:val="none"/>
                <w:lang w:val="en-US" w:eastAsia="zh-CN" w:bidi="ar"/>
              </w:rPr>
              <w:t>中能提供完善的内部质量安全管理制度；</w:t>
            </w:r>
            <w:r>
              <w:rPr>
                <w:rFonts w:hint="eastAsia" w:ascii="宋体" w:hAnsi="宋体" w:eastAsia="宋体" w:cs="宋体"/>
                <w:color w:val="auto"/>
                <w:sz w:val="21"/>
                <w:szCs w:val="21"/>
                <w:highlight w:val="none"/>
                <w:lang w:eastAsia="zh-CN"/>
              </w:rPr>
              <w:t>有明确的</w:t>
            </w:r>
            <w:r>
              <w:rPr>
                <w:rFonts w:hint="eastAsia" w:ascii="宋体" w:hAnsi="宋体" w:eastAsia="宋体" w:cs="宋体"/>
                <w:color w:val="auto"/>
                <w:szCs w:val="21"/>
                <w:highlight w:val="none"/>
              </w:rPr>
              <w:t>退换货流程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对于质量不合格的食材能快速进行退换货</w:t>
            </w:r>
            <w:r>
              <w:rPr>
                <w:rFonts w:hint="eastAsia" w:ascii="宋体" w:hAnsi="宋体" w:eastAsia="宋体" w:cs="宋体"/>
                <w:color w:val="auto"/>
                <w:kern w:val="0"/>
                <w:sz w:val="21"/>
                <w:szCs w:val="21"/>
                <w:highlight w:val="none"/>
                <w:lang w:val="en-US" w:eastAsia="zh-CN" w:bidi="ar"/>
              </w:rPr>
              <w:t xml:space="preserve">，得 </w:t>
            </w:r>
            <w:r>
              <w:rPr>
                <w:rFonts w:hint="eastAsia" w:ascii="宋体" w:hAnsi="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 xml:space="preserve">分； </w:t>
            </w:r>
          </w:p>
          <w:p w14:paraId="42D0E13F">
            <w:pPr>
              <w:keepNext w:val="0"/>
              <w:keepLines w:val="0"/>
              <w:widowControl/>
              <w:suppressLineNumbers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③在本项②的基础上，</w:t>
            </w:r>
            <w:r>
              <w:rPr>
                <w:rFonts w:hint="eastAsia" w:hAnsi="宋体" w:eastAsia="宋体" w:cs="宋体"/>
                <w:color w:val="auto"/>
                <w:sz w:val="21"/>
                <w:szCs w:val="21"/>
                <w:highlight w:val="none"/>
                <w:lang w:val="en-US" w:eastAsia="zh-CN"/>
              </w:rPr>
              <w:t>能提供</w:t>
            </w:r>
            <w:r>
              <w:rPr>
                <w:rFonts w:hint="eastAsia" w:hAnsi="宋体" w:cs="宋体"/>
                <w:color w:val="auto"/>
                <w:sz w:val="21"/>
                <w:szCs w:val="21"/>
                <w:highlight w:val="none"/>
                <w:lang w:eastAsia="zh-CN"/>
              </w:rPr>
              <w:t>切实可行</w:t>
            </w:r>
            <w:r>
              <w:rPr>
                <w:rFonts w:hint="eastAsia" w:hAnsi="宋体" w:eastAsia="宋体" w:cs="宋体"/>
                <w:color w:val="auto"/>
                <w:sz w:val="21"/>
                <w:szCs w:val="21"/>
                <w:highlight w:val="none"/>
                <w:lang w:eastAsia="zh-CN"/>
              </w:rPr>
              <w:t>的食材检验检疫</w:t>
            </w:r>
            <w:r>
              <w:rPr>
                <w:rFonts w:hint="eastAsia" w:hAnsi="宋体" w:cs="宋体"/>
                <w:color w:val="auto"/>
                <w:sz w:val="21"/>
                <w:szCs w:val="21"/>
                <w:highlight w:val="none"/>
                <w:lang w:eastAsia="zh-CN"/>
              </w:rPr>
              <w:t>流程及</w:t>
            </w:r>
            <w:r>
              <w:rPr>
                <w:rFonts w:hint="eastAsia" w:hAnsi="宋体" w:eastAsia="宋体" w:cs="宋体"/>
                <w:color w:val="auto"/>
                <w:sz w:val="21"/>
                <w:szCs w:val="21"/>
                <w:highlight w:val="none"/>
                <w:lang w:eastAsia="zh-CN"/>
              </w:rPr>
              <w:t>措施</w:t>
            </w:r>
            <w:r>
              <w:rPr>
                <w:rFonts w:hint="eastAsia" w:hAnsi="宋体" w:cs="宋体"/>
                <w:color w:val="auto"/>
                <w:sz w:val="21"/>
                <w:szCs w:val="21"/>
                <w:highlight w:val="none"/>
                <w:lang w:eastAsia="zh-CN"/>
              </w:rPr>
              <w:t>（提供齐全的检验检疫标准及报告）</w:t>
            </w:r>
            <w:r>
              <w:rPr>
                <w:rFonts w:hint="eastAsia" w:hAnsi="宋体" w:eastAsia="宋体" w:cs="宋体"/>
                <w:color w:val="auto"/>
                <w:sz w:val="21"/>
                <w:szCs w:val="21"/>
                <w:highlight w:val="none"/>
                <w:lang w:eastAsia="zh-CN"/>
              </w:rPr>
              <w:t>，具备食材留样程序（提供相应留样制度、留样室照片等）；</w:t>
            </w:r>
            <w:r>
              <w:rPr>
                <w:rFonts w:hint="eastAsia" w:ascii="宋体" w:hAnsi="宋体" w:eastAsia="宋体" w:cs="宋体"/>
                <w:color w:val="auto"/>
                <w:kern w:val="0"/>
                <w:sz w:val="21"/>
                <w:szCs w:val="21"/>
                <w:highlight w:val="none"/>
                <w:lang w:val="en-US" w:eastAsia="zh-CN" w:bidi="ar"/>
              </w:rPr>
              <w:t>企业内部</w:t>
            </w:r>
            <w:r>
              <w:rPr>
                <w:rFonts w:hint="eastAsia" w:hAnsi="宋体" w:eastAsia="宋体" w:cs="宋体"/>
                <w:color w:val="auto"/>
                <w:sz w:val="21"/>
                <w:szCs w:val="21"/>
                <w:highlight w:val="none"/>
                <w:lang w:eastAsia="zh-CN"/>
              </w:rPr>
              <w:t>食材</w:t>
            </w:r>
            <w:r>
              <w:rPr>
                <w:rFonts w:hint="eastAsia" w:ascii="宋体" w:hAnsi="宋体" w:cs="宋体"/>
                <w:color w:val="auto"/>
                <w:kern w:val="0"/>
                <w:sz w:val="21"/>
                <w:szCs w:val="21"/>
                <w:highlight w:val="none"/>
                <w:lang w:val="en-US" w:eastAsia="zh-CN" w:bidi="ar"/>
              </w:rPr>
              <w:t>质量安全</w:t>
            </w:r>
            <w:r>
              <w:rPr>
                <w:rFonts w:hint="eastAsia" w:ascii="宋体" w:hAnsi="宋体" w:eastAsia="宋体" w:cs="宋体"/>
                <w:color w:val="auto"/>
                <w:kern w:val="0"/>
                <w:sz w:val="21"/>
                <w:szCs w:val="21"/>
                <w:highlight w:val="none"/>
                <w:lang w:val="en-US" w:eastAsia="zh-CN" w:bidi="ar"/>
              </w:rPr>
              <w:t>管理制度有对应的奖惩措施，保障管理</w:t>
            </w:r>
            <w:r>
              <w:rPr>
                <w:rFonts w:hint="eastAsia" w:ascii="宋体" w:hAnsi="宋体" w:cs="宋体"/>
                <w:color w:val="auto"/>
                <w:kern w:val="0"/>
                <w:sz w:val="21"/>
                <w:szCs w:val="21"/>
                <w:highlight w:val="none"/>
                <w:lang w:val="en-US" w:eastAsia="zh-CN" w:bidi="ar"/>
              </w:rPr>
              <w:t>制度</w:t>
            </w:r>
            <w:r>
              <w:rPr>
                <w:rFonts w:hint="eastAsia" w:ascii="宋体" w:hAnsi="宋体" w:eastAsia="宋体" w:cs="宋体"/>
                <w:color w:val="auto"/>
                <w:kern w:val="0"/>
                <w:sz w:val="21"/>
                <w:szCs w:val="21"/>
                <w:highlight w:val="none"/>
                <w:lang w:val="en-US" w:eastAsia="zh-CN" w:bidi="ar"/>
              </w:rPr>
              <w:t>能落实</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各制度或规范还有对应的</w:t>
            </w:r>
            <w:r>
              <w:rPr>
                <w:rFonts w:hint="eastAsia" w:ascii="宋体" w:hAnsi="宋体" w:cs="宋体"/>
                <w:color w:val="auto"/>
                <w:kern w:val="0"/>
                <w:sz w:val="21"/>
                <w:szCs w:val="21"/>
                <w:highlight w:val="none"/>
                <w:lang w:val="en-US" w:eastAsia="zh-CN" w:bidi="ar"/>
              </w:rPr>
              <w:t>责任</w:t>
            </w:r>
            <w:r>
              <w:rPr>
                <w:rFonts w:hint="eastAsia" w:ascii="宋体" w:hAnsi="宋体" w:eastAsia="宋体" w:cs="宋体"/>
                <w:color w:val="auto"/>
                <w:kern w:val="0"/>
                <w:sz w:val="21"/>
                <w:szCs w:val="21"/>
                <w:highlight w:val="none"/>
                <w:lang w:val="en-US" w:eastAsia="zh-CN" w:bidi="ar"/>
              </w:rPr>
              <w:t>人员，得</w:t>
            </w:r>
            <w:r>
              <w:rPr>
                <w:rFonts w:hint="eastAsia" w:ascii="宋体" w:hAnsi="宋体" w:cs="宋体"/>
                <w:color w:val="auto"/>
                <w:kern w:val="0"/>
                <w:sz w:val="21"/>
                <w:szCs w:val="21"/>
                <w:highlight w:val="none"/>
                <w:lang w:val="en-US" w:eastAsia="zh-CN" w:bidi="ar"/>
              </w:rPr>
              <w:t>15</w:t>
            </w:r>
            <w:r>
              <w:rPr>
                <w:rFonts w:hint="eastAsia" w:ascii="宋体" w:hAnsi="宋体" w:eastAsia="宋体" w:cs="宋体"/>
                <w:color w:val="auto"/>
                <w:kern w:val="0"/>
                <w:sz w:val="21"/>
                <w:szCs w:val="21"/>
                <w:highlight w:val="none"/>
                <w:lang w:val="en-US" w:eastAsia="zh-CN" w:bidi="ar"/>
              </w:rPr>
              <w:t>分。</w:t>
            </w:r>
          </w:p>
          <w:p w14:paraId="2D1395B9">
            <w:pPr>
              <w:spacing w:line="360" w:lineRule="auto"/>
              <w:rPr>
                <w:rFonts w:hint="eastAsia" w:ascii="宋体" w:hAnsi="宋体" w:eastAsia="宋体" w:cs="宋体"/>
                <w:color w:val="auto"/>
                <w:sz w:val="21"/>
                <w:szCs w:val="21"/>
                <w:highlight w:val="none"/>
                <w:lang w:val="zh-CN"/>
              </w:rPr>
            </w:pPr>
            <w:r>
              <w:rPr>
                <w:rFonts w:hint="eastAsia" w:hAnsi="宋体" w:eastAsia="宋体" w:cs="宋体"/>
                <w:color w:val="auto"/>
                <w:sz w:val="21"/>
                <w:szCs w:val="21"/>
                <w:highlight w:val="none"/>
                <w:lang w:eastAsia="zh-CN"/>
              </w:rPr>
              <w:t>注：</w:t>
            </w:r>
            <w:r>
              <w:rPr>
                <w:rFonts w:hint="eastAsia" w:hAnsi="宋体" w:cs="宋体"/>
                <w:color w:val="auto"/>
                <w:sz w:val="21"/>
                <w:szCs w:val="21"/>
                <w:highlight w:val="none"/>
                <w:lang w:val="en-US" w:eastAsia="zh-CN"/>
              </w:rPr>
              <w:t>供应商</w:t>
            </w:r>
            <w:r>
              <w:rPr>
                <w:rFonts w:hint="default" w:hAnsi="宋体" w:eastAsia="宋体" w:cs="宋体"/>
                <w:color w:val="auto"/>
                <w:sz w:val="21"/>
                <w:szCs w:val="21"/>
                <w:highlight w:val="none"/>
                <w:lang w:val="zh-CN" w:eastAsia="zh-CN"/>
              </w:rPr>
              <w:t>不提供</w:t>
            </w:r>
            <w:r>
              <w:rPr>
                <w:rFonts w:hint="default" w:hAnsi="宋体" w:cs="宋体"/>
                <w:color w:val="auto"/>
                <w:sz w:val="21"/>
                <w:szCs w:val="21"/>
                <w:highlight w:val="none"/>
                <w:lang w:val="zh-CN" w:eastAsia="zh-CN"/>
              </w:rPr>
              <w:t>食材</w:t>
            </w:r>
            <w:r>
              <w:rPr>
                <w:rFonts w:hint="eastAsia" w:hAnsi="宋体" w:cs="宋体"/>
                <w:color w:val="auto"/>
                <w:sz w:val="21"/>
                <w:szCs w:val="21"/>
                <w:highlight w:val="none"/>
                <w:lang w:eastAsia="zh-CN"/>
              </w:rPr>
              <w:t>质量</w:t>
            </w:r>
            <w:r>
              <w:rPr>
                <w:rFonts w:hint="default" w:hAnsi="宋体" w:cs="宋体"/>
                <w:color w:val="auto"/>
                <w:sz w:val="21"/>
                <w:szCs w:val="21"/>
                <w:highlight w:val="none"/>
                <w:lang w:val="zh-CN" w:eastAsia="zh-CN"/>
              </w:rPr>
              <w:t>安全</w:t>
            </w:r>
            <w:r>
              <w:rPr>
                <w:rFonts w:hint="default" w:ascii="Calibri" w:hAnsi="宋体" w:eastAsia="宋体" w:cs="宋体"/>
                <w:color w:val="auto"/>
                <w:sz w:val="21"/>
                <w:szCs w:val="21"/>
                <w:highlight w:val="none"/>
                <w:lang w:val="zh-CN"/>
              </w:rPr>
              <w:t>管理方案</w:t>
            </w:r>
            <w:r>
              <w:rPr>
                <w:rFonts w:hint="default" w:hAnsi="宋体" w:eastAsia="宋体" w:cs="宋体"/>
                <w:color w:val="auto"/>
                <w:sz w:val="21"/>
                <w:szCs w:val="21"/>
                <w:highlight w:val="none"/>
                <w:lang w:val="zh-CN" w:eastAsia="zh-CN"/>
              </w:rPr>
              <w:t>或提供的</w:t>
            </w:r>
            <w:r>
              <w:rPr>
                <w:rFonts w:hint="default" w:hAnsi="宋体" w:cs="宋体"/>
                <w:color w:val="auto"/>
                <w:sz w:val="21"/>
                <w:szCs w:val="21"/>
                <w:highlight w:val="none"/>
                <w:lang w:val="zh-CN" w:eastAsia="zh-CN"/>
              </w:rPr>
              <w:t>食材质量安全</w:t>
            </w:r>
            <w:r>
              <w:rPr>
                <w:rFonts w:hint="default" w:ascii="Calibri" w:hAnsi="宋体" w:eastAsia="宋体" w:cs="宋体"/>
                <w:color w:val="auto"/>
                <w:sz w:val="21"/>
                <w:szCs w:val="21"/>
                <w:highlight w:val="none"/>
                <w:lang w:val="zh-CN"/>
              </w:rPr>
              <w:t>管理方案</w:t>
            </w:r>
            <w:r>
              <w:rPr>
                <w:rFonts w:hint="eastAsia" w:hAnsi="宋体" w:eastAsia="宋体" w:cs="宋体"/>
                <w:color w:val="auto"/>
                <w:sz w:val="21"/>
                <w:szCs w:val="21"/>
                <w:highlight w:val="none"/>
                <w:lang w:val="zh-CN" w:eastAsia="zh-CN"/>
              </w:rPr>
              <w:t>未达</w:t>
            </w:r>
            <w:r>
              <w:rPr>
                <w:rFonts w:hint="eastAsia" w:hAnsi="宋体" w:cs="宋体"/>
                <w:color w:val="auto"/>
                <w:sz w:val="21"/>
                <w:szCs w:val="21"/>
                <w:highlight w:val="none"/>
              </w:rPr>
              <w:t>①</w:t>
            </w:r>
            <w:r>
              <w:rPr>
                <w:rFonts w:hint="eastAsia" w:hAnsi="宋体" w:cs="宋体"/>
                <w:color w:val="auto"/>
                <w:sz w:val="21"/>
                <w:szCs w:val="21"/>
                <w:highlight w:val="none"/>
                <w:lang w:eastAsia="zh-CN"/>
              </w:rPr>
              <w:t>标准</w:t>
            </w:r>
            <w:r>
              <w:rPr>
                <w:rFonts w:hint="default" w:hAnsi="宋体" w:eastAsia="宋体" w:cs="宋体"/>
                <w:color w:val="auto"/>
                <w:sz w:val="21"/>
                <w:szCs w:val="21"/>
                <w:highlight w:val="none"/>
                <w:lang w:val="zh-CN" w:eastAsia="zh-CN"/>
              </w:rPr>
              <w:t>的，计</w:t>
            </w:r>
            <w:r>
              <w:rPr>
                <w:rFonts w:hint="eastAsia" w:ascii="宋体" w:hAnsi="宋体" w:eastAsia="宋体" w:cs="宋体"/>
                <w:color w:val="auto"/>
                <w:sz w:val="21"/>
                <w:szCs w:val="21"/>
                <w:highlight w:val="none"/>
                <w:lang w:val="zh-CN" w:eastAsia="zh-CN"/>
              </w:rPr>
              <w:t>0</w:t>
            </w:r>
            <w:r>
              <w:rPr>
                <w:rFonts w:hint="default" w:hAnsi="宋体" w:eastAsia="宋体" w:cs="宋体"/>
                <w:color w:val="auto"/>
                <w:sz w:val="21"/>
                <w:szCs w:val="21"/>
                <w:highlight w:val="none"/>
                <w:lang w:val="zh-CN" w:eastAsia="zh-CN"/>
              </w:rPr>
              <w:t>分。</w:t>
            </w:r>
          </w:p>
        </w:tc>
        <w:tc>
          <w:tcPr>
            <w:tcW w:w="757" w:type="dxa"/>
            <w:tcBorders>
              <w:top w:val="single" w:color="auto" w:sz="4" w:space="0"/>
              <w:left w:val="single" w:color="auto" w:sz="4" w:space="0"/>
              <w:bottom w:val="single" w:color="auto" w:sz="4" w:space="0"/>
              <w:right w:val="single" w:color="auto" w:sz="4" w:space="0"/>
            </w:tcBorders>
            <w:vAlign w:val="center"/>
          </w:tcPr>
          <w:p w14:paraId="151FCF65">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231697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2B8E28BC">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217" w:type="dxa"/>
            <w:vMerge w:val="continue"/>
            <w:tcBorders>
              <w:left w:val="single" w:color="auto" w:sz="4" w:space="0"/>
              <w:right w:val="single" w:color="auto" w:sz="4" w:space="0"/>
            </w:tcBorders>
            <w:vAlign w:val="top"/>
          </w:tcPr>
          <w:p w14:paraId="11E7F082">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77F66747">
            <w:pPr>
              <w:adjustRightInd w:val="0"/>
              <w:spacing w:line="400" w:lineRule="exact"/>
              <w:jc w:val="center"/>
              <w:textAlignment w:val="baseline"/>
              <w:rPr>
                <w:rFonts w:hint="eastAsia" w:ascii="宋体" w:hAnsi="宋体" w:eastAsia="宋体" w:cs="宋体"/>
                <w:color w:val="auto"/>
                <w:sz w:val="21"/>
                <w:szCs w:val="21"/>
                <w:highlight w:val="none"/>
                <w:lang w:val="zh-CN"/>
              </w:rPr>
            </w:pPr>
            <w:r>
              <w:rPr>
                <w:rFonts w:hint="eastAsia" w:ascii="宋体" w:hAnsi="宋体" w:cs="宋体"/>
                <w:bCs/>
                <w:color w:val="auto"/>
                <w:kern w:val="0"/>
                <w:szCs w:val="21"/>
                <w:highlight w:val="none"/>
                <w:lang w:eastAsia="zh-CN"/>
              </w:rPr>
              <w:t>应急</w:t>
            </w:r>
            <w:r>
              <w:rPr>
                <w:rFonts w:hint="eastAsia" w:ascii="宋体" w:hAnsi="宋体" w:cs="宋体"/>
                <w:bCs/>
                <w:color w:val="auto"/>
                <w:kern w:val="0"/>
                <w:szCs w:val="21"/>
                <w:highlight w:val="none"/>
              </w:rPr>
              <w:t>方案</w:t>
            </w: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15分</w:t>
            </w:r>
            <w:r>
              <w:rPr>
                <w:rFonts w:hint="eastAsia" w:ascii="宋体" w:hAnsi="宋体" w:cs="宋体"/>
                <w:color w:val="auto"/>
                <w:kern w:val="0"/>
                <w:szCs w:val="21"/>
                <w:highlight w:val="none"/>
                <w:lang w:eastAsia="zh-CN"/>
              </w:rPr>
              <w:t>）</w:t>
            </w:r>
          </w:p>
        </w:tc>
        <w:tc>
          <w:tcPr>
            <w:tcW w:w="5685" w:type="dxa"/>
            <w:tcBorders>
              <w:top w:val="single" w:color="auto" w:sz="4" w:space="0"/>
              <w:left w:val="single" w:color="auto" w:sz="4" w:space="0"/>
              <w:bottom w:val="single" w:color="auto" w:sz="4" w:space="0"/>
              <w:right w:val="single" w:color="auto" w:sz="4" w:space="0"/>
            </w:tcBorders>
            <w:vAlign w:val="center"/>
          </w:tcPr>
          <w:p w14:paraId="7A646D18">
            <w:pPr>
              <w:adjustRightInd w:val="0"/>
              <w:spacing w:line="360" w:lineRule="auto"/>
              <w:jc w:val="left"/>
              <w:textAlignment w:val="baseline"/>
              <w:rPr>
                <w:rFonts w:hint="eastAsia" w:ascii="宋体" w:hAnsi="宋体" w:cs="宋体"/>
                <w:bCs/>
                <w:color w:val="auto"/>
                <w:kern w:val="0"/>
                <w:szCs w:val="21"/>
                <w:highlight w:val="none"/>
              </w:rPr>
            </w:pPr>
            <w:r>
              <w:rPr>
                <w:rFonts w:hint="eastAsia" w:hAnsi="宋体" w:cs="宋体"/>
                <w:color w:val="auto"/>
                <w:sz w:val="21"/>
                <w:szCs w:val="21"/>
                <w:highlight w:val="none"/>
                <w:lang w:val="en-US" w:eastAsia="zh-CN"/>
              </w:rPr>
              <w:t>磋商小组</w:t>
            </w:r>
            <w:r>
              <w:rPr>
                <w:rFonts w:hint="eastAsia" w:ascii="宋体" w:hAnsi="宋体" w:cs="宋体"/>
                <w:bCs/>
                <w:color w:val="auto"/>
                <w:kern w:val="0"/>
                <w:szCs w:val="21"/>
                <w:highlight w:val="none"/>
              </w:rPr>
              <w:t>根据</w:t>
            </w:r>
            <w:r>
              <w:rPr>
                <w:rFonts w:hint="eastAsia" w:hAnsi="宋体" w:cs="宋体"/>
                <w:color w:val="auto"/>
                <w:sz w:val="21"/>
                <w:szCs w:val="21"/>
                <w:highlight w:val="none"/>
                <w:lang w:val="en-US" w:eastAsia="zh-CN"/>
              </w:rPr>
              <w:t>供应商</w:t>
            </w:r>
            <w:r>
              <w:rPr>
                <w:rFonts w:hint="eastAsia" w:ascii="宋体" w:hAnsi="宋体" w:cs="宋体"/>
                <w:bCs/>
                <w:color w:val="auto"/>
                <w:kern w:val="0"/>
                <w:szCs w:val="21"/>
                <w:highlight w:val="none"/>
              </w:rPr>
              <w:t>提供的应急方案（包括各类突发事件应急预案</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人员及物资</w:t>
            </w:r>
            <w:r>
              <w:rPr>
                <w:rFonts w:hint="eastAsia" w:ascii="宋体" w:hAnsi="宋体" w:cs="宋体"/>
                <w:bCs/>
                <w:color w:val="auto"/>
                <w:kern w:val="0"/>
                <w:szCs w:val="21"/>
                <w:highlight w:val="none"/>
                <w:lang w:eastAsia="zh-CN"/>
              </w:rPr>
              <w:t>应急保障，应急</w:t>
            </w:r>
            <w:r>
              <w:rPr>
                <w:rFonts w:hint="eastAsia" w:ascii="宋体" w:hAnsi="宋体" w:cs="宋体"/>
                <w:bCs/>
                <w:color w:val="auto"/>
                <w:kern w:val="0"/>
                <w:szCs w:val="21"/>
                <w:highlight w:val="none"/>
              </w:rPr>
              <w:t>处置</w:t>
            </w:r>
            <w:r>
              <w:rPr>
                <w:rFonts w:hint="eastAsia" w:ascii="宋体" w:hAnsi="宋体" w:cs="宋体"/>
                <w:bCs/>
                <w:color w:val="auto"/>
                <w:kern w:val="0"/>
                <w:szCs w:val="21"/>
                <w:highlight w:val="none"/>
                <w:lang w:eastAsia="zh-CN"/>
              </w:rPr>
              <w:t>措施</w:t>
            </w:r>
            <w:r>
              <w:rPr>
                <w:rFonts w:hint="eastAsia" w:ascii="宋体" w:hAnsi="宋体" w:cs="宋体"/>
                <w:bCs/>
                <w:color w:val="auto"/>
                <w:kern w:val="0"/>
                <w:szCs w:val="21"/>
                <w:highlight w:val="none"/>
              </w:rPr>
              <w:t>、</w:t>
            </w:r>
            <w:r>
              <w:rPr>
                <w:rFonts w:hint="eastAsia" w:ascii="Times New Roman" w:hAnsi="Times New Roman" w:cs="Times New Roman"/>
                <w:color w:val="auto"/>
                <w:sz w:val="21"/>
                <w:szCs w:val="21"/>
                <w:highlight w:val="none"/>
                <w:lang w:val="en-US" w:eastAsia="zh-CN"/>
              </w:rPr>
              <w:t>临时性配送</w:t>
            </w:r>
            <w:r>
              <w:rPr>
                <w:rFonts w:hint="eastAsia" w:ascii="宋体" w:hAnsi="宋体" w:cs="宋体"/>
                <w:bCs/>
                <w:color w:val="auto"/>
                <w:kern w:val="0"/>
                <w:szCs w:val="21"/>
                <w:highlight w:val="none"/>
                <w:lang w:val="en-US" w:eastAsia="zh-CN"/>
              </w:rPr>
              <w:t>任务送达</w:t>
            </w:r>
            <w:r>
              <w:rPr>
                <w:rFonts w:hint="eastAsia" w:ascii="宋体" w:hAnsi="宋体" w:cs="宋体"/>
                <w:bCs/>
                <w:color w:val="auto"/>
                <w:kern w:val="0"/>
                <w:szCs w:val="21"/>
                <w:highlight w:val="none"/>
              </w:rPr>
              <w:t>时间等）进行评价。以下各项不重复计分：</w:t>
            </w:r>
          </w:p>
          <w:p w14:paraId="46D5BB6E">
            <w:pPr>
              <w:adjustRightInd w:val="0"/>
              <w:spacing w:line="360" w:lineRule="auto"/>
              <w:jc w:val="left"/>
              <w:textAlignment w:val="baseline"/>
              <w:rPr>
                <w:rFonts w:hint="eastAsia" w:ascii="宋体" w:hAnsi="宋体" w:eastAsia="宋体" w:cs="宋体"/>
                <w:bCs/>
                <w:color w:val="auto"/>
                <w:kern w:val="0"/>
                <w:szCs w:val="21"/>
                <w:highlight w:val="none"/>
              </w:rPr>
            </w:pPr>
            <w:r>
              <w:rPr>
                <w:rFonts w:hint="default" w:ascii="Times New Roman" w:hAnsi="Times New Roman" w:eastAsia="宋体" w:cs="Times New Roman"/>
                <w:color w:val="auto"/>
                <w:sz w:val="21"/>
                <w:szCs w:val="21"/>
                <w:highlight w:val="none"/>
                <w:lang w:val="zh-CN"/>
              </w:rPr>
              <w:t>①</w:t>
            </w:r>
            <w:r>
              <w:rPr>
                <w:rFonts w:hint="eastAsia" w:ascii="Times New Roman" w:hAnsi="Times New Roman" w:cs="Times New Roman"/>
                <w:color w:val="auto"/>
                <w:sz w:val="21"/>
                <w:szCs w:val="21"/>
                <w:highlight w:val="none"/>
                <w:lang w:val="zh-CN"/>
              </w:rPr>
              <w:t>在完全响应采购需求中应急要求的前提下，</w:t>
            </w:r>
            <w:r>
              <w:rPr>
                <w:rFonts w:hint="eastAsia" w:ascii="Times New Roman" w:hAnsi="Times New Roman" w:cs="Times New Roman"/>
                <w:color w:val="auto"/>
                <w:sz w:val="21"/>
                <w:szCs w:val="21"/>
                <w:highlight w:val="none"/>
                <w:lang w:val="en-US" w:eastAsia="zh-CN"/>
              </w:rPr>
              <w:t>能针对本项目制订各类突发事件的应急方案（应急方案包括但不限于出现临时性配送任务</w:t>
            </w:r>
            <w:r>
              <w:rPr>
                <w:rFonts w:hint="eastAsia" w:ascii="宋体" w:hAnsi="宋体" w:eastAsia="宋体" w:cs="宋体"/>
                <w:color w:val="auto"/>
                <w:sz w:val="21"/>
                <w:szCs w:val="21"/>
                <w:highlight w:val="none"/>
                <w:lang w:val="en-US" w:eastAsia="zh-CN"/>
              </w:rPr>
              <w:t>、食</w:t>
            </w:r>
            <w:r>
              <w:rPr>
                <w:rFonts w:hint="eastAsia" w:ascii="宋体" w:hAnsi="宋体" w:cs="宋体"/>
                <w:color w:val="auto"/>
                <w:sz w:val="21"/>
                <w:szCs w:val="21"/>
                <w:highlight w:val="none"/>
                <w:lang w:val="en-US" w:eastAsia="zh-CN"/>
              </w:rPr>
              <w:t>材</w:t>
            </w:r>
            <w:r>
              <w:rPr>
                <w:rFonts w:hint="eastAsia" w:ascii="宋体" w:hAnsi="宋体" w:eastAsia="宋体" w:cs="宋体"/>
                <w:color w:val="auto"/>
                <w:sz w:val="21"/>
                <w:szCs w:val="21"/>
                <w:highlight w:val="none"/>
                <w:lang w:val="en-US" w:eastAsia="zh-CN"/>
              </w:rPr>
              <w:t>安全事件等突发事件应急方案）</w:t>
            </w:r>
            <w:r>
              <w:rPr>
                <w:rFonts w:hint="eastAsia" w:ascii="宋体" w:hAnsi="宋体" w:eastAsia="宋体" w:cs="宋体"/>
                <w:color w:val="auto"/>
                <w:sz w:val="21"/>
                <w:szCs w:val="21"/>
                <w:highlight w:val="none"/>
                <w:lang w:val="zh-CN"/>
              </w:rPr>
              <w:t>，得</w:t>
            </w:r>
            <w:r>
              <w:rPr>
                <w:rFonts w:hint="eastAsia" w:ascii="宋体" w:hAnsi="宋体" w:cs="宋体"/>
                <w:color w:val="auto"/>
                <w:sz w:val="21"/>
                <w:szCs w:val="21"/>
                <w:highlight w:val="none"/>
                <w:lang w:val="en-US" w:eastAsia="zh-CN"/>
              </w:rPr>
              <w:t>5分</w:t>
            </w:r>
            <w:r>
              <w:rPr>
                <w:rFonts w:hint="eastAsia" w:ascii="宋体" w:hAnsi="宋体" w:eastAsia="宋体" w:cs="宋体"/>
                <w:bCs/>
                <w:color w:val="auto"/>
                <w:kern w:val="0"/>
                <w:szCs w:val="21"/>
                <w:highlight w:val="none"/>
              </w:rPr>
              <w:t>；</w:t>
            </w:r>
          </w:p>
          <w:p w14:paraId="313FB321">
            <w:pPr>
              <w:adjustRightInd w:val="0"/>
              <w:spacing w:line="360" w:lineRule="auto"/>
              <w:jc w:val="left"/>
              <w:textAlignment w:val="baseline"/>
              <w:rPr>
                <w:rFonts w:hint="eastAsia" w:ascii="宋体" w:hAnsi="宋体" w:eastAsia="宋体" w:cs="宋体"/>
                <w:bCs w:val="0"/>
                <w:color w:val="auto"/>
                <w:kern w:val="2"/>
                <w:szCs w:val="21"/>
                <w:highlight w:val="none"/>
                <w:lang w:val="en-US"/>
              </w:rPr>
            </w:pPr>
            <w:r>
              <w:rPr>
                <w:rFonts w:hint="eastAsia" w:ascii="宋体" w:hAnsi="宋体" w:eastAsia="宋体" w:cs="宋体"/>
                <w:color w:val="auto"/>
                <w:sz w:val="21"/>
                <w:szCs w:val="21"/>
                <w:highlight w:val="none"/>
                <w:lang w:val="zh-CN"/>
              </w:rPr>
              <w:t>②在本项①的基础上</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针对</w:t>
            </w:r>
            <w:r>
              <w:rPr>
                <w:rFonts w:hint="eastAsia" w:ascii="Times New Roman" w:hAnsi="Times New Roman" w:cs="Times New Roman"/>
                <w:color w:val="auto"/>
                <w:sz w:val="21"/>
                <w:szCs w:val="21"/>
                <w:highlight w:val="none"/>
                <w:lang w:val="en-US" w:eastAsia="zh-CN"/>
              </w:rPr>
              <w:t>出现临时性配送任务</w:t>
            </w:r>
            <w:r>
              <w:rPr>
                <w:rFonts w:hint="eastAsia" w:ascii="宋体" w:hAnsi="宋体" w:eastAsia="宋体" w:cs="宋体"/>
                <w:color w:val="auto"/>
                <w:sz w:val="21"/>
                <w:szCs w:val="21"/>
                <w:highlight w:val="none"/>
                <w:lang w:val="en-US" w:eastAsia="zh-CN"/>
              </w:rPr>
              <w:t>、食</w:t>
            </w:r>
            <w:r>
              <w:rPr>
                <w:rFonts w:hint="eastAsia" w:ascii="宋体" w:hAnsi="宋体" w:cs="宋体"/>
                <w:color w:val="auto"/>
                <w:sz w:val="21"/>
                <w:szCs w:val="21"/>
                <w:highlight w:val="none"/>
                <w:lang w:val="en-US" w:eastAsia="zh-CN"/>
              </w:rPr>
              <w:t>材</w:t>
            </w:r>
            <w:r>
              <w:rPr>
                <w:rFonts w:hint="eastAsia" w:ascii="宋体" w:hAnsi="宋体" w:eastAsia="宋体" w:cs="宋体"/>
                <w:color w:val="auto"/>
                <w:sz w:val="21"/>
                <w:szCs w:val="21"/>
                <w:highlight w:val="none"/>
                <w:lang w:val="en-US" w:eastAsia="zh-CN"/>
              </w:rPr>
              <w:t>安全事件等突发事件成立有专门的应急部门，应急人员配备到位、责任明确；应急食材调配方案合理；</w:t>
            </w:r>
            <w:r>
              <w:rPr>
                <w:rFonts w:hint="eastAsia" w:ascii="宋体" w:hAnsi="宋体" w:eastAsia="宋体" w:cs="宋体"/>
                <w:bCs w:val="0"/>
                <w:color w:val="auto"/>
                <w:kern w:val="2"/>
                <w:szCs w:val="21"/>
                <w:highlight w:val="none"/>
                <w:lang w:eastAsia="zh-CN"/>
              </w:rPr>
              <w:t>承诺接到采购人</w:t>
            </w:r>
            <w:r>
              <w:rPr>
                <w:rFonts w:hint="eastAsia" w:ascii="宋体" w:hAnsi="宋体" w:eastAsia="宋体" w:cs="宋体"/>
                <w:color w:val="auto"/>
                <w:sz w:val="21"/>
                <w:szCs w:val="21"/>
                <w:highlight w:val="none"/>
                <w:lang w:val="en-US" w:eastAsia="zh-CN"/>
              </w:rPr>
              <w:t>临时性配送任务后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小时内完成配送任务的，得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3333FE7D">
            <w:pPr>
              <w:adjustRightInd w:val="0"/>
              <w:spacing w:line="360" w:lineRule="auto"/>
              <w:jc w:val="left"/>
              <w:textAlignment w:val="baseline"/>
              <w:rPr>
                <w:rFonts w:hint="eastAsia" w:ascii="宋体" w:hAnsi="宋体" w:eastAsia="宋体" w:cs="宋体"/>
                <w:bCs/>
                <w:color w:val="auto"/>
                <w:kern w:val="0"/>
                <w:szCs w:val="21"/>
                <w:highlight w:val="none"/>
              </w:rPr>
            </w:pPr>
            <w:r>
              <w:rPr>
                <w:rFonts w:hint="eastAsia" w:ascii="宋体" w:hAnsi="宋体" w:eastAsia="宋体" w:cs="宋体"/>
                <w:color w:val="auto"/>
                <w:sz w:val="21"/>
                <w:szCs w:val="21"/>
                <w:highlight w:val="none"/>
                <w:lang w:val="en-US"/>
              </w:rPr>
              <w:t>③在本项②的基础上</w:t>
            </w:r>
            <w:r>
              <w:rPr>
                <w:rFonts w:hint="eastAsia" w:ascii="宋体" w:hAnsi="宋体" w:cs="宋体"/>
                <w:color w:val="auto"/>
                <w:sz w:val="21"/>
                <w:szCs w:val="21"/>
                <w:highlight w:val="none"/>
                <w:lang w:val="en-US" w:eastAsia="zh-CN"/>
              </w:rPr>
              <w:t>，针对出现临时性配送任务</w:t>
            </w:r>
            <w:r>
              <w:rPr>
                <w:rFonts w:hint="eastAsia" w:ascii="宋体" w:hAnsi="宋体" w:eastAsia="宋体" w:cs="宋体"/>
                <w:color w:val="auto"/>
                <w:sz w:val="21"/>
                <w:szCs w:val="21"/>
                <w:highlight w:val="none"/>
                <w:lang w:val="en-US" w:eastAsia="zh-CN"/>
              </w:rPr>
              <w:t>、食</w:t>
            </w:r>
            <w:r>
              <w:rPr>
                <w:rFonts w:hint="eastAsia" w:ascii="宋体" w:hAnsi="宋体" w:cs="宋体"/>
                <w:color w:val="auto"/>
                <w:sz w:val="21"/>
                <w:szCs w:val="21"/>
                <w:highlight w:val="none"/>
                <w:lang w:val="en-US" w:eastAsia="zh-CN"/>
              </w:rPr>
              <w:t>材</w:t>
            </w:r>
            <w:r>
              <w:rPr>
                <w:rFonts w:hint="eastAsia" w:ascii="宋体" w:hAnsi="宋体" w:eastAsia="宋体" w:cs="宋体"/>
                <w:color w:val="auto"/>
                <w:sz w:val="21"/>
                <w:szCs w:val="21"/>
                <w:highlight w:val="none"/>
                <w:lang w:val="en-US" w:eastAsia="zh-CN"/>
              </w:rPr>
              <w:t>安全事件等突发事件制订有完善的处置流程图、保障措施，能较快速地启动应急处理措施</w:t>
            </w:r>
            <w:r>
              <w:rPr>
                <w:rFonts w:hint="eastAsia" w:ascii="宋体" w:hAnsi="宋体" w:eastAsia="宋体" w:cs="宋体"/>
                <w:bCs w:val="0"/>
                <w:color w:val="auto"/>
                <w:kern w:val="2"/>
                <w:szCs w:val="21"/>
                <w:highlight w:val="none"/>
              </w:rPr>
              <w:t>；</w:t>
            </w:r>
            <w:r>
              <w:rPr>
                <w:rFonts w:hint="eastAsia" w:ascii="宋体" w:hAnsi="宋体" w:eastAsia="宋体" w:cs="宋体"/>
                <w:bCs w:val="0"/>
                <w:color w:val="auto"/>
                <w:kern w:val="2"/>
                <w:szCs w:val="21"/>
                <w:highlight w:val="none"/>
                <w:lang w:eastAsia="zh-CN"/>
              </w:rPr>
              <w:t>承诺接到采购人</w:t>
            </w:r>
            <w:r>
              <w:rPr>
                <w:rFonts w:hint="eastAsia" w:ascii="宋体" w:hAnsi="宋体" w:eastAsia="宋体" w:cs="宋体"/>
                <w:color w:val="auto"/>
                <w:sz w:val="21"/>
                <w:szCs w:val="21"/>
                <w:highlight w:val="none"/>
                <w:lang w:val="en-US" w:eastAsia="zh-CN"/>
              </w:rPr>
              <w:t>临时性配送任务后1小时内完成配送任务的，得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bCs/>
                <w:color w:val="auto"/>
                <w:kern w:val="0"/>
                <w:szCs w:val="21"/>
                <w:highlight w:val="none"/>
              </w:rPr>
              <w:t>。</w:t>
            </w:r>
          </w:p>
          <w:p w14:paraId="15C77D6F">
            <w:pPr>
              <w:pStyle w:val="2"/>
              <w:spacing w:line="360" w:lineRule="auto"/>
              <w:rPr>
                <w:rFonts w:hint="eastAsia" w:ascii="宋体" w:hAnsi="宋体" w:eastAsia="宋体" w:cs="宋体"/>
                <w:color w:val="auto"/>
                <w:highlight w:val="none"/>
                <w:lang w:val="zh-CN"/>
              </w:rPr>
            </w:pPr>
            <w:r>
              <w:rPr>
                <w:rFonts w:hint="eastAsia" w:ascii="宋体" w:hAnsi="宋体" w:eastAsia="宋体" w:cs="宋体"/>
                <w:b w:val="0"/>
                <w:bCs w:val="0"/>
                <w:color w:val="auto"/>
                <w:sz w:val="21"/>
                <w:szCs w:val="21"/>
                <w:highlight w:val="none"/>
              </w:rPr>
              <w:t>注：</w:t>
            </w:r>
            <w:r>
              <w:rPr>
                <w:rFonts w:hint="eastAsia" w:ascii="宋体" w:hAnsi="宋体" w:cs="宋体"/>
                <w:b w:val="0"/>
                <w:bCs w:val="0"/>
                <w:color w:val="auto"/>
                <w:sz w:val="21"/>
                <w:szCs w:val="21"/>
                <w:highlight w:val="none"/>
                <w:lang w:eastAsia="zh-CN"/>
              </w:rPr>
              <w:t>供应商</w:t>
            </w:r>
            <w:r>
              <w:rPr>
                <w:rFonts w:hint="default" w:ascii="Times New Roman" w:hAnsi="Times New Roman" w:eastAsia="宋体" w:cs="Times New Roman"/>
                <w:b w:val="0"/>
                <w:bCs w:val="0"/>
                <w:color w:val="auto"/>
                <w:sz w:val="21"/>
                <w:szCs w:val="21"/>
                <w:highlight w:val="none"/>
                <w:lang w:val="zh-CN"/>
              </w:rPr>
              <w:t>不提供应急方案或提供的应急方案未达①标准的，计0分。</w:t>
            </w:r>
          </w:p>
        </w:tc>
        <w:tc>
          <w:tcPr>
            <w:tcW w:w="757" w:type="dxa"/>
            <w:tcBorders>
              <w:top w:val="single" w:color="auto" w:sz="4" w:space="0"/>
              <w:left w:val="single" w:color="auto" w:sz="4" w:space="0"/>
              <w:bottom w:val="single" w:color="auto" w:sz="4" w:space="0"/>
              <w:right w:val="single" w:color="auto" w:sz="4" w:space="0"/>
            </w:tcBorders>
            <w:vAlign w:val="center"/>
          </w:tcPr>
          <w:p w14:paraId="20DF3B21">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tc>
      </w:tr>
      <w:tr w14:paraId="3CBB38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68D0E5BE">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217" w:type="dxa"/>
            <w:vMerge w:val="continue"/>
            <w:tcBorders>
              <w:left w:val="single" w:color="auto" w:sz="4" w:space="0"/>
              <w:right w:val="single" w:color="auto" w:sz="4" w:space="0"/>
            </w:tcBorders>
            <w:vAlign w:val="top"/>
          </w:tcPr>
          <w:p w14:paraId="4CB5551B">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7D2E4B0D">
            <w:pPr>
              <w:widowControl/>
              <w:spacing w:line="400" w:lineRule="exact"/>
              <w:jc w:val="center"/>
              <w:rPr>
                <w:rFonts w:hint="eastAsia" w:ascii="宋体" w:hAnsi="宋体" w:eastAsia="宋体" w:cs="宋体"/>
                <w:color w:val="auto"/>
                <w:szCs w:val="21"/>
                <w:highlight w:val="none"/>
              </w:rPr>
            </w:pPr>
            <w:r>
              <w:rPr>
                <w:rFonts w:hint="eastAsia" w:ascii="宋体" w:hAnsi="宋体" w:cs="宋体"/>
                <w:b w:val="0"/>
                <w:bCs w:val="0"/>
                <w:color w:val="auto"/>
                <w:spacing w:val="8"/>
                <w:sz w:val="21"/>
                <w:szCs w:val="21"/>
                <w:highlight w:val="none"/>
                <w:lang w:val="en-US" w:eastAsia="zh-CN"/>
              </w:rPr>
              <w:t>配送能力（7分）</w:t>
            </w:r>
          </w:p>
          <w:p w14:paraId="3FD748B4">
            <w:pPr>
              <w:snapToGrid w:val="0"/>
              <w:spacing w:line="400" w:lineRule="exact"/>
              <w:jc w:val="center"/>
              <w:rPr>
                <w:rFonts w:hint="eastAsia" w:ascii="宋体" w:hAnsi="宋体" w:eastAsia="宋体" w:cs="宋体"/>
                <w:bCs/>
                <w:color w:val="auto"/>
                <w:kern w:val="0"/>
                <w:szCs w:val="21"/>
                <w:highlight w:val="none"/>
              </w:rPr>
            </w:pPr>
          </w:p>
        </w:tc>
        <w:tc>
          <w:tcPr>
            <w:tcW w:w="5685" w:type="dxa"/>
            <w:tcBorders>
              <w:top w:val="single" w:color="auto" w:sz="4" w:space="0"/>
              <w:left w:val="single" w:color="auto" w:sz="4" w:space="0"/>
              <w:bottom w:val="single" w:color="auto" w:sz="4" w:space="0"/>
              <w:right w:val="single" w:color="auto" w:sz="4" w:space="0"/>
            </w:tcBorders>
            <w:vAlign w:val="center"/>
          </w:tcPr>
          <w:p w14:paraId="6FC69CC6">
            <w:pPr>
              <w:adjustRightInd w:val="0"/>
              <w:spacing w:line="400" w:lineRule="exact"/>
              <w:jc w:val="left"/>
              <w:textAlignment w:val="baseline"/>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供应商</w:t>
            </w:r>
            <w:r>
              <w:rPr>
                <w:rFonts w:hint="eastAsia" w:ascii="宋体" w:hAnsi="宋体" w:eastAsia="宋体" w:cs="宋体"/>
                <w:bCs/>
                <w:color w:val="auto"/>
                <w:kern w:val="0"/>
                <w:szCs w:val="21"/>
                <w:highlight w:val="none"/>
                <w:lang w:val="en-US" w:eastAsia="zh-CN"/>
              </w:rPr>
              <w:t>投入本项目配送车辆：</w:t>
            </w:r>
          </w:p>
          <w:p w14:paraId="440DF48E">
            <w:pPr>
              <w:adjustRightInd w:val="0"/>
              <w:spacing w:line="400" w:lineRule="exact"/>
              <w:jc w:val="left"/>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eastAsia="zh-CN"/>
              </w:rPr>
              <w:t>投入</w:t>
            </w:r>
            <w:r>
              <w:rPr>
                <w:rFonts w:hint="eastAsia" w:ascii="宋体" w:hAnsi="宋体" w:eastAsia="宋体" w:cs="宋体"/>
                <w:bCs/>
                <w:color w:val="auto"/>
                <w:kern w:val="0"/>
                <w:szCs w:val="21"/>
                <w:highlight w:val="none"/>
              </w:rPr>
              <w:t>有</w:t>
            </w:r>
            <w:r>
              <w:rPr>
                <w:rFonts w:hint="eastAsia" w:ascii="宋体" w:hAnsi="宋体" w:cs="宋体"/>
                <w:bCs/>
                <w:color w:val="auto"/>
                <w:kern w:val="0"/>
                <w:szCs w:val="21"/>
                <w:highlight w:val="none"/>
                <w:lang w:eastAsia="zh-CN"/>
              </w:rPr>
              <w:t>一</w:t>
            </w:r>
            <w:r>
              <w:rPr>
                <w:rFonts w:hint="eastAsia" w:ascii="宋体" w:hAnsi="宋体" w:eastAsia="宋体" w:cs="宋体"/>
                <w:bCs/>
                <w:color w:val="auto"/>
                <w:kern w:val="0"/>
                <w:szCs w:val="21"/>
                <w:highlight w:val="none"/>
              </w:rPr>
              <w:t>辆</w:t>
            </w:r>
            <w:r>
              <w:rPr>
                <w:rFonts w:hint="eastAsia" w:ascii="宋体" w:hAnsi="宋体" w:eastAsia="宋体" w:cs="宋体"/>
                <w:bCs/>
                <w:color w:val="auto"/>
                <w:kern w:val="0"/>
                <w:szCs w:val="21"/>
                <w:highlight w:val="none"/>
                <w:lang w:eastAsia="zh-CN"/>
              </w:rPr>
              <w:t>普通货</w:t>
            </w:r>
            <w:r>
              <w:rPr>
                <w:rFonts w:hint="eastAsia" w:ascii="宋体" w:hAnsi="宋体" w:eastAsia="宋体" w:cs="宋体"/>
                <w:bCs/>
                <w:color w:val="auto"/>
                <w:kern w:val="0"/>
                <w:szCs w:val="21"/>
                <w:highlight w:val="none"/>
              </w:rPr>
              <w:t>车的得</w:t>
            </w:r>
            <w:r>
              <w:rPr>
                <w:rFonts w:hint="eastAsia" w:ascii="宋体" w:hAnsi="宋体" w:cs="宋体"/>
                <w:bCs/>
                <w:color w:val="auto"/>
                <w:kern w:val="0"/>
                <w:szCs w:val="21"/>
                <w:highlight w:val="none"/>
                <w:lang w:val="en-US" w:eastAsia="zh-CN"/>
              </w:rPr>
              <w:t>2</w:t>
            </w:r>
            <w:r>
              <w:rPr>
                <w:rFonts w:hint="eastAsia" w:ascii="宋体" w:hAnsi="宋体" w:eastAsia="宋体" w:cs="宋体"/>
                <w:bCs/>
                <w:color w:val="auto"/>
                <w:kern w:val="0"/>
                <w:szCs w:val="21"/>
                <w:highlight w:val="none"/>
              </w:rPr>
              <w:t>分，满分</w:t>
            </w:r>
            <w:r>
              <w:rPr>
                <w:rFonts w:hint="eastAsia" w:ascii="宋体" w:hAnsi="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分</w:t>
            </w:r>
            <w:r>
              <w:rPr>
                <w:rFonts w:hint="eastAsia" w:ascii="宋体" w:hAnsi="宋体" w:eastAsia="宋体" w:cs="宋体"/>
                <w:bCs/>
                <w:color w:val="auto"/>
                <w:kern w:val="0"/>
                <w:szCs w:val="21"/>
                <w:highlight w:val="none"/>
                <w:lang w:eastAsia="zh-CN"/>
              </w:rPr>
              <w:t>；</w:t>
            </w:r>
          </w:p>
          <w:p w14:paraId="45FC1289">
            <w:pPr>
              <w:adjustRightInd w:val="0"/>
              <w:spacing w:line="400" w:lineRule="exact"/>
              <w:jc w:val="left"/>
              <w:textAlignment w:val="baseline"/>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②</w:t>
            </w:r>
            <w:r>
              <w:rPr>
                <w:rFonts w:hint="eastAsia" w:ascii="宋体" w:hAnsi="宋体" w:eastAsia="宋体" w:cs="宋体"/>
                <w:bCs/>
                <w:color w:val="auto"/>
                <w:kern w:val="0"/>
                <w:szCs w:val="21"/>
                <w:highlight w:val="none"/>
                <w:lang w:eastAsia="zh-CN"/>
              </w:rPr>
              <w:t>投入有</w:t>
            </w:r>
            <w:r>
              <w:rPr>
                <w:rFonts w:hint="eastAsia" w:ascii="宋体" w:hAnsi="宋体" w:cs="宋体"/>
                <w:bCs/>
                <w:color w:val="auto"/>
                <w:kern w:val="0"/>
                <w:szCs w:val="21"/>
                <w:highlight w:val="none"/>
                <w:lang w:eastAsia="zh-CN"/>
              </w:rPr>
              <w:t>一</w:t>
            </w:r>
            <w:r>
              <w:rPr>
                <w:rFonts w:hint="eastAsia" w:ascii="宋体" w:hAnsi="宋体" w:eastAsia="宋体" w:cs="宋体"/>
                <w:bCs/>
                <w:color w:val="auto"/>
                <w:kern w:val="0"/>
                <w:szCs w:val="21"/>
                <w:highlight w:val="none"/>
              </w:rPr>
              <w:t>辆</w:t>
            </w:r>
            <w:r>
              <w:rPr>
                <w:rFonts w:hint="eastAsia" w:ascii="宋体" w:hAnsi="宋体" w:eastAsia="宋体" w:cs="宋体"/>
                <w:bCs/>
                <w:color w:val="auto"/>
                <w:kern w:val="0"/>
                <w:szCs w:val="21"/>
                <w:highlight w:val="none"/>
                <w:lang w:eastAsia="zh-CN"/>
              </w:rPr>
              <w:t>冷藏运输</w:t>
            </w:r>
            <w:r>
              <w:rPr>
                <w:rFonts w:hint="eastAsia" w:ascii="宋体" w:hAnsi="宋体" w:eastAsia="宋体" w:cs="宋体"/>
                <w:bCs/>
                <w:color w:val="auto"/>
                <w:kern w:val="0"/>
                <w:szCs w:val="21"/>
                <w:highlight w:val="none"/>
              </w:rPr>
              <w:t>车得</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分，满分</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分</w:t>
            </w:r>
            <w:r>
              <w:rPr>
                <w:rFonts w:hint="eastAsia" w:ascii="宋体" w:hAnsi="宋体" w:eastAsia="宋体" w:cs="宋体"/>
                <w:bCs/>
                <w:color w:val="auto"/>
                <w:kern w:val="0"/>
                <w:szCs w:val="21"/>
                <w:highlight w:val="none"/>
                <w:lang w:val="en-US" w:eastAsia="zh-CN"/>
              </w:rPr>
              <w:t>。</w:t>
            </w:r>
          </w:p>
          <w:p w14:paraId="60D32E5B">
            <w:pPr>
              <w:widowControl/>
              <w:spacing w:line="360" w:lineRule="auto"/>
              <w:jc w:val="left"/>
              <w:rPr>
                <w:rFonts w:hint="eastAsia" w:ascii="宋体" w:hAnsi="宋体" w:eastAsia="宋体" w:cs="宋体"/>
                <w:bCs/>
                <w:color w:val="auto"/>
                <w:kern w:val="0"/>
                <w:szCs w:val="21"/>
                <w:highlight w:val="none"/>
              </w:rPr>
            </w:pPr>
            <w:r>
              <w:rPr>
                <w:rFonts w:hint="eastAsia" w:ascii="宋体" w:hAnsi="宋体" w:cs="宋体"/>
                <w:bCs/>
                <w:color w:val="auto"/>
                <w:kern w:val="0"/>
                <w:szCs w:val="21"/>
                <w:highlight w:val="none"/>
                <w:lang w:eastAsia="zh-CN"/>
              </w:rPr>
              <w:t>注：</w:t>
            </w:r>
            <w:r>
              <w:rPr>
                <w:rFonts w:hint="eastAsia" w:ascii="宋体" w:hAnsi="宋体" w:eastAsia="宋体" w:cs="宋体"/>
                <w:b w:val="0"/>
                <w:bCs/>
                <w:color w:val="auto"/>
                <w:sz w:val="21"/>
                <w:szCs w:val="21"/>
                <w:highlight w:val="none"/>
                <w:lang w:eastAsia="zh-CN"/>
              </w:rPr>
              <w:t>须</w:t>
            </w:r>
            <w:r>
              <w:rPr>
                <w:rFonts w:hint="eastAsia" w:ascii="宋体" w:hAnsi="宋体" w:cs="宋体"/>
                <w:bCs/>
                <w:color w:val="auto"/>
                <w:kern w:val="0"/>
                <w:szCs w:val="21"/>
                <w:highlight w:val="none"/>
              </w:rPr>
              <w:t>提供车辆有效证明材料（自有车辆的提供车辆行驶证复印件，且车辆为</w:t>
            </w:r>
            <w:r>
              <w:rPr>
                <w:rFonts w:hint="eastAsia" w:ascii="Times New Roman" w:hAnsi="Times New Roman" w:cs="Times New Roman"/>
                <w:color w:val="auto"/>
                <w:sz w:val="21"/>
                <w:szCs w:val="21"/>
                <w:highlight w:val="none"/>
                <w:lang w:val="zh-CN"/>
              </w:rPr>
              <w:t>供应商</w:t>
            </w:r>
            <w:r>
              <w:rPr>
                <w:rFonts w:hint="eastAsia" w:ascii="宋体" w:hAnsi="宋体" w:cs="宋体"/>
                <w:bCs/>
                <w:color w:val="auto"/>
                <w:kern w:val="0"/>
                <w:szCs w:val="21"/>
                <w:highlight w:val="none"/>
              </w:rPr>
              <w:t>或</w:t>
            </w:r>
            <w:r>
              <w:rPr>
                <w:rFonts w:hint="eastAsia" w:ascii="宋体" w:hAnsi="宋体" w:cs="宋体"/>
                <w:bCs/>
                <w:color w:val="auto"/>
                <w:kern w:val="0"/>
                <w:szCs w:val="21"/>
                <w:highlight w:val="none"/>
                <w:lang w:val="en-US" w:eastAsia="zh-CN"/>
              </w:rPr>
              <w:t>供应商</w:t>
            </w:r>
            <w:r>
              <w:rPr>
                <w:rFonts w:hint="eastAsia" w:ascii="宋体" w:hAnsi="宋体" w:cs="宋体"/>
                <w:bCs/>
                <w:color w:val="auto"/>
                <w:kern w:val="0"/>
                <w:szCs w:val="21"/>
                <w:highlight w:val="none"/>
              </w:rPr>
              <w:t>法</w:t>
            </w:r>
            <w:r>
              <w:rPr>
                <w:rFonts w:hint="eastAsia" w:ascii="宋体" w:hAnsi="宋体" w:cs="宋体"/>
                <w:bCs/>
                <w:color w:val="auto"/>
                <w:kern w:val="0"/>
                <w:szCs w:val="21"/>
                <w:highlight w:val="none"/>
                <w:lang w:eastAsia="zh-CN"/>
              </w:rPr>
              <w:t>定代表</w:t>
            </w:r>
            <w:r>
              <w:rPr>
                <w:rFonts w:hint="eastAsia" w:ascii="宋体" w:hAnsi="宋体" w:cs="宋体"/>
                <w:bCs/>
                <w:color w:val="auto"/>
                <w:kern w:val="0"/>
                <w:szCs w:val="21"/>
                <w:highlight w:val="none"/>
              </w:rPr>
              <w:t>人所有；车辆为租赁的，提供车辆行驶证及车辆租用合同复印件）。</w:t>
            </w:r>
            <w:r>
              <w:rPr>
                <w:rFonts w:hint="eastAsia"/>
                <w:b w:val="0"/>
                <w:bCs/>
                <w:color w:val="auto"/>
                <w:sz w:val="21"/>
                <w:szCs w:val="21"/>
                <w:highlight w:val="none"/>
                <w:lang w:val="en-US" w:eastAsia="zh-CN"/>
              </w:rPr>
              <w:t>供应商</w:t>
            </w:r>
            <w:r>
              <w:rPr>
                <w:rFonts w:hint="eastAsia"/>
                <w:b w:val="0"/>
                <w:bCs/>
                <w:color w:val="auto"/>
                <w:sz w:val="21"/>
                <w:szCs w:val="21"/>
                <w:highlight w:val="none"/>
                <w:lang w:eastAsia="zh-CN"/>
              </w:rPr>
              <w:t>不按要求提供有效证明材料的，不予计分。</w:t>
            </w:r>
          </w:p>
        </w:tc>
        <w:tc>
          <w:tcPr>
            <w:tcW w:w="757" w:type="dxa"/>
            <w:tcBorders>
              <w:top w:val="single" w:color="auto" w:sz="4" w:space="0"/>
              <w:left w:val="single" w:color="auto" w:sz="4" w:space="0"/>
              <w:bottom w:val="single" w:color="auto" w:sz="4" w:space="0"/>
              <w:right w:val="single" w:color="auto" w:sz="4" w:space="0"/>
            </w:tcBorders>
            <w:vAlign w:val="center"/>
          </w:tcPr>
          <w:p w14:paraId="1A2BBE54">
            <w:pPr>
              <w:pStyle w:val="2"/>
              <w:spacing w:after="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kern w:val="0"/>
                <w:szCs w:val="21"/>
                <w:highlight w:val="none"/>
                <w:lang w:val="en-US" w:eastAsia="zh-CN"/>
              </w:rPr>
              <w:t>7</w:t>
            </w:r>
            <w:r>
              <w:rPr>
                <w:rFonts w:hint="eastAsia" w:ascii="宋体" w:hAnsi="宋体" w:eastAsia="宋体" w:cs="宋体"/>
                <w:b w:val="0"/>
                <w:bCs/>
                <w:color w:val="auto"/>
                <w:kern w:val="0"/>
                <w:szCs w:val="21"/>
                <w:highlight w:val="none"/>
              </w:rPr>
              <w:t>分</w:t>
            </w:r>
          </w:p>
        </w:tc>
      </w:tr>
      <w:tr w14:paraId="6A54D0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14:paraId="6FB5703A">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217" w:type="dxa"/>
            <w:vMerge w:val="continue"/>
            <w:tcBorders>
              <w:left w:val="single" w:color="auto" w:sz="4" w:space="0"/>
              <w:right w:val="single" w:color="auto" w:sz="4" w:space="0"/>
            </w:tcBorders>
            <w:vAlign w:val="top"/>
          </w:tcPr>
          <w:p w14:paraId="1E96E7D6">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p>
        </w:tc>
        <w:tc>
          <w:tcPr>
            <w:tcW w:w="791" w:type="dxa"/>
            <w:tcBorders>
              <w:top w:val="single" w:color="auto" w:sz="4" w:space="0"/>
              <w:left w:val="single" w:color="auto" w:sz="4" w:space="0"/>
              <w:bottom w:val="single" w:color="auto" w:sz="4" w:space="0"/>
              <w:right w:val="single" w:color="auto" w:sz="4" w:space="0"/>
            </w:tcBorders>
            <w:vAlign w:val="center"/>
          </w:tcPr>
          <w:p w14:paraId="160AE86E">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食材</w:t>
            </w:r>
            <w:r>
              <w:rPr>
                <w:rFonts w:hint="eastAsia" w:ascii="宋体" w:hAnsi="宋体" w:cs="宋体"/>
                <w:color w:val="auto"/>
                <w:kern w:val="0"/>
                <w:szCs w:val="21"/>
                <w:highlight w:val="none"/>
                <w:lang w:bidi="ar"/>
              </w:rPr>
              <w:t>货源保障</w:t>
            </w:r>
          </w:p>
          <w:p w14:paraId="0513EA9E">
            <w:pPr>
              <w:widowControl/>
              <w:spacing w:line="400" w:lineRule="exact"/>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能力</w:t>
            </w:r>
          </w:p>
          <w:p w14:paraId="001B052B">
            <w:pPr>
              <w:widowControl/>
              <w:spacing w:line="40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cs="FangSong_GB2312"/>
                <w:color w:val="auto"/>
                <w:sz w:val="21"/>
                <w:szCs w:val="21"/>
                <w:highlight w:val="none"/>
                <w:lang w:val="en-US" w:eastAsia="zh-CN"/>
              </w:rPr>
              <w:t>9分</w:t>
            </w:r>
            <w:r>
              <w:rPr>
                <w:rFonts w:hint="eastAsia" w:ascii="宋体" w:hAnsi="宋体" w:cs="宋体"/>
                <w:color w:val="auto"/>
                <w:kern w:val="0"/>
                <w:szCs w:val="21"/>
                <w:highlight w:val="none"/>
                <w:lang w:eastAsia="zh-CN"/>
              </w:rPr>
              <w:t>）</w:t>
            </w:r>
          </w:p>
          <w:p w14:paraId="417B214E">
            <w:pPr>
              <w:snapToGrid w:val="0"/>
              <w:spacing w:line="400" w:lineRule="exact"/>
              <w:jc w:val="center"/>
              <w:rPr>
                <w:rFonts w:hint="eastAsia" w:ascii="宋体" w:hAnsi="宋体" w:eastAsia="宋体" w:cs="宋体"/>
                <w:bCs/>
                <w:color w:val="auto"/>
                <w:kern w:val="0"/>
                <w:szCs w:val="21"/>
                <w:highlight w:val="none"/>
              </w:rPr>
            </w:pPr>
          </w:p>
        </w:tc>
        <w:tc>
          <w:tcPr>
            <w:tcW w:w="5685" w:type="dxa"/>
            <w:tcBorders>
              <w:top w:val="single" w:color="auto" w:sz="4" w:space="0"/>
              <w:left w:val="single" w:color="auto" w:sz="4" w:space="0"/>
              <w:bottom w:val="single" w:color="auto" w:sz="4" w:space="0"/>
              <w:right w:val="single" w:color="auto" w:sz="4" w:space="0"/>
            </w:tcBorders>
            <w:vAlign w:val="center"/>
          </w:tcPr>
          <w:p w14:paraId="26FB3CB9">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①供应商具有与生产经营食品相关的加工场地（如猪、牛、羊类屠宰场等。属于自有成立或与屠宰场签订采购或合作协议均可），每提供一份证明材料得1分（以上同类食材提供不同的证明材料不重复计分），满分2分。</w:t>
            </w:r>
          </w:p>
          <w:p w14:paraId="639C8348">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②供应商具有水产、鸡、鸭、猪、牛类养殖场或农场、基地等稳定货源渠道（属于自有基场、或与养殖场、农场、基地签订采购或合作协议均可），每提供一份证明材料得1分（以上同类食材提供不同的证明材料不重复计分），满分5分。 </w:t>
            </w:r>
          </w:p>
          <w:p w14:paraId="279B98A4">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③供应商具有生产经营蔬菜类种植基地或农场等稳定货源渠道（属于自有基地、或与基地、农场签订采购或合作协议均可），每提供一份证明材料得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分，满分</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p>
          <w:p w14:paraId="0D188A02">
            <w:pPr>
              <w:widowControl/>
              <w:spacing w:line="400" w:lineRule="exact"/>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注：属与养殖场或屠宰场、基地、农场等签订采购或合作协议的，需要提供供应商与相关养殖场、屠宰场、基地或农场的合同（或合作协议）复印件；属自有基地的，需要提供自有基地证明和实地照片的复印件。供应商不按要求提供有效证明材料的，不予计分。</w:t>
            </w:r>
          </w:p>
        </w:tc>
        <w:tc>
          <w:tcPr>
            <w:tcW w:w="757" w:type="dxa"/>
            <w:tcBorders>
              <w:top w:val="single" w:color="auto" w:sz="4" w:space="0"/>
              <w:left w:val="single" w:color="auto" w:sz="4" w:space="0"/>
              <w:bottom w:val="single" w:color="auto" w:sz="4" w:space="0"/>
              <w:right w:val="single" w:color="auto" w:sz="4" w:space="0"/>
            </w:tcBorders>
            <w:vAlign w:val="center"/>
          </w:tcPr>
          <w:p w14:paraId="05C2A48D">
            <w:pPr>
              <w:pStyle w:val="2"/>
              <w:spacing w:after="0" w:line="400" w:lineRule="exact"/>
              <w:jc w:val="center"/>
              <w:rPr>
                <w:rFonts w:hint="eastAsia" w:ascii="宋体" w:hAnsi="宋体" w:eastAsia="宋体" w:cs="宋体"/>
                <w:b w:val="0"/>
                <w:bCs/>
                <w:color w:val="auto"/>
                <w:kern w:val="0"/>
                <w:szCs w:val="21"/>
                <w:highlight w:val="none"/>
              </w:rPr>
            </w:pPr>
            <w:r>
              <w:rPr>
                <w:rFonts w:hint="eastAsia" w:ascii="宋体" w:hAnsi="宋体" w:cs="宋体"/>
                <w:b w:val="0"/>
                <w:bCs/>
                <w:color w:val="auto"/>
                <w:kern w:val="0"/>
                <w:szCs w:val="21"/>
                <w:highlight w:val="none"/>
                <w:lang w:val="en-US" w:eastAsia="zh-CN"/>
              </w:rPr>
              <w:t>9</w:t>
            </w:r>
            <w:r>
              <w:rPr>
                <w:rFonts w:hint="eastAsia" w:ascii="宋体" w:hAnsi="宋体" w:eastAsia="宋体" w:cs="宋体"/>
                <w:b w:val="0"/>
                <w:bCs/>
                <w:color w:val="auto"/>
                <w:kern w:val="0"/>
                <w:szCs w:val="21"/>
                <w:highlight w:val="none"/>
              </w:rPr>
              <w:t>分</w:t>
            </w:r>
          </w:p>
        </w:tc>
      </w:tr>
      <w:tr w14:paraId="3D6193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6" w:hRule="atLeast"/>
          <w:jc w:val="center"/>
        </w:trPr>
        <w:tc>
          <w:tcPr>
            <w:tcW w:w="503" w:type="dxa"/>
            <w:tcBorders>
              <w:top w:val="single" w:color="auto" w:sz="4" w:space="0"/>
              <w:left w:val="single" w:color="auto" w:sz="4" w:space="0"/>
              <w:right w:val="single" w:color="auto" w:sz="4" w:space="0"/>
            </w:tcBorders>
            <w:vAlign w:val="center"/>
          </w:tcPr>
          <w:p w14:paraId="73E7FF94">
            <w:pPr>
              <w:widowControl/>
              <w:overflowPunct w:val="0"/>
              <w:autoSpaceDE w:val="0"/>
              <w:autoSpaceDN w:val="0"/>
              <w:adjustRightInd w:val="0"/>
              <w:spacing w:after="0" w:line="360" w:lineRule="auto"/>
              <w:ind w:left="2" w:leftChars="-34" w:hanging="73" w:hangingChars="35"/>
              <w:jc w:val="center"/>
              <w:textAlignment w:val="baseline"/>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1217" w:type="dxa"/>
            <w:tcBorders>
              <w:left w:val="single" w:color="auto" w:sz="4" w:space="0"/>
              <w:right w:val="single" w:color="auto" w:sz="4" w:space="0"/>
            </w:tcBorders>
            <w:vAlign w:val="center"/>
          </w:tcPr>
          <w:p w14:paraId="3E32763E">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en-US" w:eastAsia="zh-CN"/>
              </w:rPr>
            </w:pPr>
          </w:p>
          <w:p w14:paraId="7B7E8320">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en-US" w:eastAsia="zh-CN"/>
              </w:rPr>
            </w:pPr>
          </w:p>
          <w:p w14:paraId="4CF02AAD">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eastAsia="zh-CN"/>
              </w:rPr>
            </w:pPr>
          </w:p>
          <w:p w14:paraId="6FB6CCB5">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pacing w:val="9"/>
                <w:sz w:val="21"/>
                <w:szCs w:val="21"/>
                <w:highlight w:val="none"/>
                <w:u w:val="none"/>
                <w:lang w:val="zh-CN" w:eastAsia="zh-CN"/>
              </w:rPr>
              <w:t>商务因素（</w:t>
            </w:r>
            <w:r>
              <w:rPr>
                <w:rFonts w:hint="eastAsia" w:ascii="宋体" w:hAnsi="宋体" w:cs="宋体"/>
                <w:color w:val="auto"/>
                <w:spacing w:val="9"/>
                <w:sz w:val="21"/>
                <w:szCs w:val="21"/>
                <w:highlight w:val="none"/>
                <w:u w:val="single"/>
                <w:lang w:val="en-US" w:eastAsia="zh-CN"/>
              </w:rPr>
              <w:t>9</w:t>
            </w:r>
            <w:r>
              <w:rPr>
                <w:rFonts w:hint="eastAsia" w:ascii="宋体" w:hAnsi="宋体" w:eastAsia="宋体" w:cs="宋体"/>
                <w:color w:val="auto"/>
                <w:spacing w:val="9"/>
                <w:sz w:val="21"/>
                <w:szCs w:val="21"/>
                <w:highlight w:val="none"/>
                <w:u w:val="none"/>
                <w:lang w:val="zh-CN" w:eastAsia="zh-CN"/>
              </w:rPr>
              <w:t>分）</w:t>
            </w:r>
          </w:p>
        </w:tc>
        <w:tc>
          <w:tcPr>
            <w:tcW w:w="791" w:type="dxa"/>
            <w:tcBorders>
              <w:top w:val="single" w:color="auto" w:sz="4" w:space="0"/>
              <w:left w:val="single" w:color="auto" w:sz="4" w:space="0"/>
              <w:right w:val="single" w:color="auto" w:sz="4" w:space="0"/>
            </w:tcBorders>
            <w:vAlign w:val="center"/>
          </w:tcPr>
          <w:p w14:paraId="34035D06">
            <w:pPr>
              <w:widowControl/>
              <w:spacing w:line="400" w:lineRule="exact"/>
              <w:jc w:val="center"/>
              <w:rPr>
                <w:rFonts w:hint="eastAsia" w:ascii="宋体" w:hAnsi="宋体" w:eastAsia="宋体" w:cs="宋体"/>
                <w:color w:val="auto"/>
                <w:spacing w:val="9"/>
                <w:sz w:val="21"/>
                <w:szCs w:val="21"/>
                <w:highlight w:val="none"/>
              </w:rPr>
            </w:pPr>
            <w:r>
              <w:rPr>
                <w:rFonts w:hint="eastAsia" w:ascii="宋体" w:hAnsi="宋体" w:eastAsia="宋体" w:cs="宋体"/>
                <w:color w:val="auto"/>
                <w:spacing w:val="9"/>
                <w:sz w:val="21"/>
                <w:szCs w:val="21"/>
                <w:highlight w:val="none"/>
              </w:rPr>
              <w:t>类似项目业绩</w:t>
            </w:r>
          </w:p>
        </w:tc>
        <w:tc>
          <w:tcPr>
            <w:tcW w:w="5685" w:type="dxa"/>
            <w:tcBorders>
              <w:top w:val="single" w:color="auto" w:sz="4" w:space="0"/>
              <w:left w:val="single" w:color="auto" w:sz="4" w:space="0"/>
              <w:right w:val="single" w:color="auto" w:sz="4" w:space="0"/>
            </w:tcBorders>
            <w:vAlign w:val="center"/>
          </w:tcPr>
          <w:p w14:paraId="0C1F079D">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根据类似项目成功案例进行评价：供应商自202</w:t>
            </w:r>
            <w:r>
              <w:rPr>
                <w:rFonts w:hint="eastAsia" w:ascii="宋体" w:hAnsi="宋体" w:eastAsia="宋体" w:cs="宋体"/>
                <w:color w:val="auto"/>
                <w:sz w:val="21"/>
                <w:szCs w:val="21"/>
                <w:highlight w:val="none"/>
                <w:lang w:val="zh-CN" w:eastAsia="zh-CN"/>
              </w:rPr>
              <w:t>1</w:t>
            </w:r>
            <w:r>
              <w:rPr>
                <w:rFonts w:hint="eastAsia" w:ascii="宋体" w:hAnsi="宋体" w:eastAsia="宋体" w:cs="宋体"/>
                <w:color w:val="auto"/>
                <w:sz w:val="21"/>
                <w:szCs w:val="21"/>
                <w:highlight w:val="none"/>
                <w:lang w:val="zh-CN"/>
              </w:rPr>
              <w:t>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月1日至今（以合同签订时间为准）承接的类似项目的业绩的有效证明文件进行评价，有效证明文件包括该业绩的：采购合同文本复印件（同一个项目签订多份合同的只能计算一次，不重复计分）。每个有效业绩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分，满分</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分。供应商须提供以上完整证明材料，否则该业绩不得分。</w:t>
            </w:r>
          </w:p>
          <w:p w14:paraId="50C2828D">
            <w:pPr>
              <w:widowControl/>
              <w:overflowPunct w:val="0"/>
              <w:autoSpaceDE w:val="0"/>
              <w:autoSpaceDN w:val="0"/>
              <w:adjustRightInd w:val="0"/>
              <w:spacing w:after="0" w:line="360" w:lineRule="auto"/>
              <w:jc w:val="left"/>
              <w:textAlignment w:val="baseline"/>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注释：以上评分因素中，类似项目是指</w:t>
            </w:r>
            <w:r>
              <w:rPr>
                <w:rFonts w:hint="eastAsia" w:ascii="宋体" w:hAnsi="宋体" w:eastAsia="宋体" w:cs="宋体"/>
                <w:color w:val="auto"/>
                <w:sz w:val="21"/>
                <w:szCs w:val="21"/>
                <w:highlight w:val="none"/>
                <w:lang w:val="zh-CN" w:eastAsia="zh-CN"/>
              </w:rPr>
              <w:t>食堂</w:t>
            </w:r>
            <w:r>
              <w:rPr>
                <w:rFonts w:hint="eastAsia" w:ascii="宋体" w:hAnsi="宋体" w:eastAsia="宋体" w:cs="宋体"/>
                <w:color w:val="auto"/>
                <w:sz w:val="21"/>
                <w:szCs w:val="21"/>
                <w:highlight w:val="none"/>
                <w:lang w:val="zh-CN"/>
              </w:rPr>
              <w:t>食材</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项目。</w:t>
            </w:r>
          </w:p>
        </w:tc>
        <w:tc>
          <w:tcPr>
            <w:tcW w:w="757" w:type="dxa"/>
            <w:tcBorders>
              <w:top w:val="single" w:color="auto" w:sz="4" w:space="0"/>
              <w:left w:val="single" w:color="auto" w:sz="4" w:space="0"/>
              <w:bottom w:val="single" w:color="auto" w:sz="4" w:space="0"/>
              <w:right w:val="single" w:color="auto" w:sz="4" w:space="0"/>
            </w:tcBorders>
            <w:vAlign w:val="center"/>
          </w:tcPr>
          <w:p w14:paraId="08FE8893">
            <w:pPr>
              <w:widowControl/>
              <w:overflowPunct w:val="0"/>
              <w:autoSpaceDE w:val="0"/>
              <w:autoSpaceDN w:val="0"/>
              <w:adjustRightInd w:val="0"/>
              <w:spacing w:after="0"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9分</w:t>
            </w:r>
          </w:p>
        </w:tc>
      </w:tr>
      <w:tr w14:paraId="3C128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196" w:type="dxa"/>
            <w:gridSpan w:val="4"/>
            <w:tcBorders>
              <w:top w:val="single" w:color="auto" w:sz="4" w:space="0"/>
              <w:left w:val="single" w:color="auto" w:sz="4" w:space="0"/>
              <w:bottom w:val="single" w:color="auto" w:sz="4" w:space="0"/>
              <w:right w:val="single" w:color="auto" w:sz="4" w:space="0"/>
            </w:tcBorders>
            <w:vAlign w:val="center"/>
          </w:tcPr>
          <w:p w14:paraId="76F5A43C">
            <w:pPr>
              <w:widowControl/>
              <w:overflowPunct w:val="0"/>
              <w:autoSpaceDE w:val="0"/>
              <w:autoSpaceDN w:val="0"/>
              <w:adjustRightInd w:val="0"/>
              <w:spacing w:after="0"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     计</w:t>
            </w:r>
          </w:p>
        </w:tc>
        <w:tc>
          <w:tcPr>
            <w:tcW w:w="757" w:type="dxa"/>
            <w:tcBorders>
              <w:top w:val="single" w:color="auto" w:sz="4" w:space="0"/>
              <w:left w:val="single" w:color="auto" w:sz="4" w:space="0"/>
              <w:bottom w:val="single" w:color="auto" w:sz="4" w:space="0"/>
              <w:right w:val="single" w:color="auto" w:sz="4" w:space="0"/>
            </w:tcBorders>
            <w:vAlign w:val="center"/>
          </w:tcPr>
          <w:p w14:paraId="0E660649">
            <w:pPr>
              <w:widowControl/>
              <w:overflowPunct w:val="0"/>
              <w:autoSpaceDE w:val="0"/>
              <w:autoSpaceDN w:val="0"/>
              <w:adjustRightInd w:val="0"/>
              <w:spacing w:after="0" w:line="360" w:lineRule="auto"/>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 xml:space="preserve">100 </w:t>
            </w:r>
          </w:p>
        </w:tc>
      </w:tr>
    </w:tbl>
    <w:p w14:paraId="15FDEDA4">
      <w:pPr>
        <w:topLinePunct/>
        <w:autoSpaceDE w:val="0"/>
        <w:autoSpaceDN w:val="0"/>
        <w:spacing w:after="0" w:line="360" w:lineRule="auto"/>
        <w:ind w:firstLine="420" w:firstLineChars="200"/>
        <w:rPr>
          <w:rFonts w:hint="eastAsia" w:ascii="宋体" w:hAnsi="宋体" w:eastAsia="宋体" w:cs="宋体"/>
          <w:color w:val="auto"/>
          <w:sz w:val="21"/>
          <w:szCs w:val="21"/>
          <w:highlight w:val="none"/>
        </w:rPr>
      </w:pPr>
    </w:p>
    <w:p w14:paraId="3A67891D">
      <w:pPr>
        <w:rPr>
          <w:rFonts w:hint="eastAsia" w:ascii="宋体" w:hAnsi="宋体" w:eastAsia="宋体" w:cs="宋体"/>
          <w:color w:val="auto"/>
          <w:highlight w:val="none"/>
        </w:rPr>
        <w:sectPr>
          <w:pgSz w:w="11906" w:h="16838"/>
          <w:pgMar w:top="1440" w:right="1417" w:bottom="1440" w:left="1417" w:header="851" w:footer="992" w:gutter="0"/>
          <w:pgNumType w:fmt="decimal"/>
          <w:cols w:space="720" w:num="1"/>
          <w:titlePg/>
          <w:docGrid w:type="lines" w:linePitch="312" w:charSpace="0"/>
        </w:sectPr>
      </w:pPr>
    </w:p>
    <w:p w14:paraId="52A12339">
      <w:pPr>
        <w:pStyle w:val="3"/>
        <w:bidi w:val="0"/>
        <w:jc w:val="center"/>
        <w:rPr>
          <w:rFonts w:hint="eastAsia" w:ascii="宋体" w:hAnsi="宋体" w:eastAsia="宋体" w:cs="宋体"/>
          <w:color w:val="auto"/>
          <w:sz w:val="30"/>
          <w:szCs w:val="30"/>
          <w:highlight w:val="none"/>
        </w:rPr>
      </w:pPr>
      <w:bookmarkStart w:id="32" w:name="_Toc24599"/>
      <w:r>
        <w:rPr>
          <w:rFonts w:hint="eastAsia" w:ascii="宋体" w:hAnsi="宋体" w:eastAsia="宋体" w:cs="宋体"/>
          <w:color w:val="auto"/>
          <w:sz w:val="30"/>
          <w:szCs w:val="30"/>
          <w:highlight w:val="none"/>
        </w:rPr>
        <w:t>第四章  采购合同文本</w:t>
      </w:r>
      <w:bookmarkEnd w:id="32"/>
    </w:p>
    <w:p w14:paraId="4FA5B0C1">
      <w:pPr>
        <w:pStyle w:val="10"/>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合 同 书</w:t>
      </w:r>
    </w:p>
    <w:p w14:paraId="161FC0E8">
      <w:pPr>
        <w:pStyle w:val="10"/>
        <w:jc w:val="center"/>
        <w:rPr>
          <w:rFonts w:hint="eastAsia" w:ascii="宋体" w:hAnsi="宋体" w:eastAsia="宋体" w:cs="宋体"/>
          <w:b w:val="0"/>
          <w:bCs/>
          <w:color w:val="auto"/>
          <w:sz w:val="32"/>
          <w:szCs w:val="32"/>
          <w:highlight w:val="none"/>
        </w:rPr>
      </w:pPr>
    </w:p>
    <w:p w14:paraId="3B50A2E2">
      <w:pPr>
        <w:tabs>
          <w:tab w:val="left" w:pos="540"/>
          <w:tab w:val="left" w:pos="1080"/>
          <w:tab w:val="left" w:pos="1440"/>
        </w:tabs>
        <w:snapToGrid w:val="0"/>
        <w:jc w:val="center"/>
        <w:rPr>
          <w:rFonts w:hint="eastAsia" w:ascii="宋体" w:hAnsi="宋体" w:eastAsia="宋体" w:cs="宋体"/>
          <w:color w:val="auto"/>
          <w:sz w:val="32"/>
          <w:szCs w:val="32"/>
          <w:highlight w:val="none"/>
        </w:rPr>
      </w:pPr>
    </w:p>
    <w:p w14:paraId="122D0494">
      <w:pPr>
        <w:tabs>
          <w:tab w:val="left" w:pos="540"/>
          <w:tab w:val="left" w:pos="1080"/>
          <w:tab w:val="left" w:pos="1440"/>
        </w:tabs>
        <w:snapToGrid w:val="0"/>
        <w:jc w:val="center"/>
        <w:rPr>
          <w:rFonts w:hint="eastAsia" w:ascii="宋体" w:hAnsi="宋体" w:eastAsia="宋体" w:cs="宋体"/>
          <w:color w:val="auto"/>
          <w:sz w:val="32"/>
          <w:szCs w:val="32"/>
          <w:highlight w:val="none"/>
        </w:rPr>
      </w:pPr>
    </w:p>
    <w:p w14:paraId="1519D57E">
      <w:pPr>
        <w:tabs>
          <w:tab w:val="left" w:pos="540"/>
          <w:tab w:val="left" w:pos="1080"/>
          <w:tab w:val="left" w:pos="1440"/>
        </w:tabs>
        <w:snapToGrid w:val="0"/>
        <w:jc w:val="center"/>
        <w:rPr>
          <w:rFonts w:hint="eastAsia" w:ascii="宋体" w:hAnsi="宋体" w:eastAsia="宋体" w:cs="宋体"/>
          <w:color w:val="auto"/>
          <w:sz w:val="32"/>
          <w:szCs w:val="32"/>
          <w:highlight w:val="none"/>
        </w:rPr>
      </w:pPr>
    </w:p>
    <w:p w14:paraId="137AA255">
      <w:pPr>
        <w:keepNext w:val="0"/>
        <w:keepLines w:val="0"/>
        <w:pageBreakBefore w:val="0"/>
        <w:widowControl w:val="0"/>
        <w:tabs>
          <w:tab w:val="left" w:pos="540"/>
          <w:tab w:val="left" w:pos="1080"/>
          <w:tab w:val="left" w:pos="1440"/>
        </w:tabs>
        <w:kinsoku/>
        <w:wordWrap/>
        <w:overflowPunct/>
        <w:bidi w:val="0"/>
        <w:adjustRightInd/>
        <w:snapToGrid w:val="0"/>
        <w:ind w:left="1680" w:leftChars="800"/>
        <w:jc w:val="center"/>
        <w:textAlignment w:val="auto"/>
        <w:rPr>
          <w:rFonts w:hint="eastAsia" w:ascii="宋体" w:hAnsi="宋体" w:eastAsia="宋体" w:cs="宋体"/>
          <w:color w:val="auto"/>
          <w:sz w:val="32"/>
          <w:szCs w:val="32"/>
          <w:highlight w:val="none"/>
        </w:rPr>
      </w:pPr>
    </w:p>
    <w:p w14:paraId="3197D86F">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项目名称：</w:t>
      </w:r>
      <w:r>
        <w:rPr>
          <w:rFonts w:hint="eastAsia" w:ascii="宋体" w:hAnsi="宋体" w:eastAsia="宋体" w:cs="宋体"/>
          <w:b w:val="0"/>
          <w:bCs/>
          <w:color w:val="auto"/>
          <w:sz w:val="24"/>
          <w:szCs w:val="24"/>
          <w:highlight w:val="none"/>
          <w:u w:val="single"/>
          <w:lang w:val="en-US" w:eastAsia="zh-CN"/>
        </w:rPr>
        <w:t xml:space="preserve">                   </w:t>
      </w:r>
    </w:p>
    <w:p w14:paraId="624C2ED0">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包</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号：</w:t>
      </w:r>
      <w:r>
        <w:rPr>
          <w:rFonts w:hint="eastAsia" w:ascii="宋体" w:hAnsi="宋体" w:eastAsia="宋体" w:cs="宋体"/>
          <w:b w:val="0"/>
          <w:bCs/>
          <w:color w:val="auto"/>
          <w:sz w:val="24"/>
          <w:szCs w:val="24"/>
          <w:highlight w:val="none"/>
          <w:u w:val="single"/>
          <w:lang w:val="en-US" w:eastAsia="zh-CN"/>
        </w:rPr>
        <w:t xml:space="preserve">                   </w:t>
      </w:r>
    </w:p>
    <w:p w14:paraId="0076DCA5">
      <w:pPr>
        <w:keepNext w:val="0"/>
        <w:keepLines w:val="0"/>
        <w:pageBreakBefore w:val="0"/>
        <w:widowControl w:val="0"/>
        <w:tabs>
          <w:tab w:val="left" w:pos="540"/>
          <w:tab w:val="left" w:pos="1080"/>
          <w:tab w:val="left" w:pos="1440"/>
        </w:tabs>
        <w:kinsoku/>
        <w:wordWrap/>
        <w:overflowPunct/>
        <w:bidi w:val="0"/>
        <w:adjustRightInd/>
        <w:snapToGrid w:val="0"/>
        <w:spacing w:line="360" w:lineRule="auto"/>
        <w:ind w:left="2100" w:leftChars="1000"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合同编号：</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lang w:val="en-US" w:eastAsia="zh-CN"/>
        </w:rPr>
        <w:t xml:space="preserve"> </w:t>
      </w:r>
    </w:p>
    <w:p w14:paraId="7CB19CE9">
      <w:pPr>
        <w:keepNext w:val="0"/>
        <w:keepLines w:val="0"/>
        <w:pageBreakBefore w:val="0"/>
        <w:widowControl w:val="0"/>
        <w:tabs>
          <w:tab w:val="left" w:pos="2160"/>
        </w:tabs>
        <w:kinsoku/>
        <w:wordWrap/>
        <w:overflowPunct/>
        <w:topLinePunct/>
        <w:autoSpaceDE w:val="0"/>
        <w:autoSpaceDN w:val="0"/>
        <w:bidi w:val="0"/>
        <w:adjustRightInd/>
        <w:snapToGrid w:val="0"/>
        <w:spacing w:line="360" w:lineRule="auto"/>
        <w:ind w:left="2880" w:leftChars="800" w:hanging="1200" w:hangingChars="500"/>
        <w:textAlignment w:val="auto"/>
        <w:rPr>
          <w:rFonts w:hint="eastAsia" w:ascii="宋体" w:hAnsi="宋体" w:eastAsia="宋体" w:cs="宋体"/>
          <w:b w:val="0"/>
          <w:bCs/>
          <w:color w:val="auto"/>
          <w:sz w:val="24"/>
          <w:szCs w:val="24"/>
          <w:highlight w:val="none"/>
        </w:rPr>
      </w:pPr>
    </w:p>
    <w:p w14:paraId="5BB67060">
      <w:pPr>
        <w:pStyle w:val="10"/>
        <w:spacing w:line="460" w:lineRule="exact"/>
        <w:jc w:val="center"/>
        <w:rPr>
          <w:rFonts w:hint="eastAsia" w:ascii="宋体" w:hAnsi="宋体" w:eastAsia="宋体" w:cs="宋体"/>
          <w:b w:val="0"/>
          <w:bCs/>
          <w:color w:val="auto"/>
          <w:sz w:val="24"/>
          <w:szCs w:val="24"/>
          <w:highlight w:val="none"/>
        </w:rPr>
      </w:pPr>
    </w:p>
    <w:p w14:paraId="048B7B36">
      <w:pPr>
        <w:pStyle w:val="10"/>
        <w:tabs>
          <w:tab w:val="left" w:pos="3045"/>
        </w:tabs>
        <w:spacing w:line="46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ab/>
      </w:r>
    </w:p>
    <w:p w14:paraId="5876C44B">
      <w:pPr>
        <w:pStyle w:val="10"/>
        <w:spacing w:line="460" w:lineRule="exact"/>
        <w:jc w:val="both"/>
        <w:rPr>
          <w:rFonts w:hint="eastAsia" w:ascii="宋体" w:hAnsi="宋体" w:eastAsia="宋体" w:cs="宋体"/>
          <w:b w:val="0"/>
          <w:bCs/>
          <w:color w:val="auto"/>
          <w:sz w:val="24"/>
          <w:szCs w:val="24"/>
          <w:highlight w:val="none"/>
        </w:rPr>
      </w:pPr>
    </w:p>
    <w:p w14:paraId="60B63FF5">
      <w:pPr>
        <w:pStyle w:val="10"/>
        <w:spacing w:line="460" w:lineRule="exact"/>
        <w:jc w:val="center"/>
        <w:rPr>
          <w:rFonts w:hint="eastAsia" w:ascii="宋体" w:hAnsi="宋体" w:eastAsia="宋体" w:cs="宋体"/>
          <w:b w:val="0"/>
          <w:bCs/>
          <w:color w:val="auto"/>
          <w:sz w:val="24"/>
          <w:szCs w:val="24"/>
          <w:highlight w:val="none"/>
        </w:rPr>
      </w:pPr>
    </w:p>
    <w:p w14:paraId="3E020D78">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 xml:space="preserve">甲    方： </w:t>
      </w:r>
      <w:r>
        <w:rPr>
          <w:rFonts w:hint="eastAsia" w:ascii="宋体" w:hAnsi="宋体" w:eastAsia="宋体" w:cs="宋体"/>
          <w:b w:val="0"/>
          <w:bCs/>
          <w:color w:val="auto"/>
          <w:sz w:val="24"/>
          <w:szCs w:val="24"/>
          <w:highlight w:val="none"/>
          <w:u w:val="single"/>
          <w:lang w:eastAsia="zh-CN"/>
        </w:rPr>
        <w:t>国家税务总局钦州市钦南区税务局</w:t>
      </w:r>
    </w:p>
    <w:p w14:paraId="4E7A74A3">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rPr>
        <w:t xml:space="preserve">乙    方： </w:t>
      </w:r>
      <w:r>
        <w:rPr>
          <w:rFonts w:hint="eastAsia" w:ascii="宋体" w:hAnsi="宋体" w:eastAsia="宋体" w:cs="宋体"/>
          <w:b w:val="0"/>
          <w:bCs/>
          <w:color w:val="auto"/>
          <w:sz w:val="24"/>
          <w:szCs w:val="24"/>
          <w:highlight w:val="none"/>
          <w:u w:val="single"/>
          <w:lang w:val="en-US" w:eastAsia="zh-CN"/>
        </w:rPr>
        <w:t xml:space="preserve">                         </w:t>
      </w:r>
    </w:p>
    <w:p w14:paraId="07D41A9C">
      <w:pPr>
        <w:keepNext w:val="0"/>
        <w:keepLines w:val="0"/>
        <w:pageBreakBefore w:val="0"/>
        <w:widowControl w:val="0"/>
        <w:kinsoku/>
        <w:wordWrap/>
        <w:overflowPunct/>
        <w:topLinePunct w:val="0"/>
        <w:autoSpaceDE/>
        <w:autoSpaceDN/>
        <w:bidi w:val="0"/>
        <w:adjustRightInd/>
        <w:snapToGrid/>
        <w:spacing w:line="300" w:lineRule="auto"/>
        <w:ind w:left="840" w:leftChars="400" w:firstLine="1298" w:firstLineChars="541"/>
        <w:textAlignment w:val="auto"/>
        <w:rPr>
          <w:rFonts w:hint="eastAsia" w:ascii="宋体" w:hAnsi="宋体" w:eastAsia="宋体" w:cs="宋体"/>
          <w:b w:val="0"/>
          <w:bCs/>
          <w:color w:val="auto"/>
          <w:sz w:val="24"/>
          <w:szCs w:val="24"/>
          <w:highlight w:val="none"/>
          <w:u w:val="single"/>
          <w:lang w:eastAsia="zh-CN"/>
        </w:rPr>
      </w:pPr>
      <w:r>
        <w:rPr>
          <w:rFonts w:hint="eastAsia" w:ascii="宋体" w:hAnsi="宋体" w:eastAsia="宋体" w:cs="宋体"/>
          <w:b w:val="0"/>
          <w:bCs/>
          <w:color w:val="auto"/>
          <w:sz w:val="24"/>
          <w:szCs w:val="24"/>
          <w:highlight w:val="none"/>
        </w:rPr>
        <w:t xml:space="preserve">日    期：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年</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月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lang w:eastAsia="zh-CN"/>
        </w:rPr>
        <w:t>日</w:t>
      </w:r>
    </w:p>
    <w:p w14:paraId="217F8A95">
      <w:pPr>
        <w:spacing w:line="300" w:lineRule="auto"/>
        <w:jc w:val="center"/>
        <w:rPr>
          <w:rFonts w:hint="eastAsia" w:ascii="宋体" w:hAnsi="宋体" w:cs="宋体"/>
          <w:b/>
          <w:color w:val="auto"/>
          <w:sz w:val="24"/>
          <w:szCs w:val="24"/>
          <w:highlight w:val="none"/>
        </w:rPr>
      </w:pPr>
      <w:r>
        <w:rPr>
          <w:rFonts w:hint="eastAsia" w:ascii="宋体" w:hAnsi="宋体" w:eastAsia="宋体" w:cs="宋体"/>
          <w:b w:val="0"/>
          <w:bCs/>
          <w:color w:val="auto"/>
          <w:sz w:val="24"/>
          <w:szCs w:val="24"/>
          <w:highlight w:val="none"/>
          <w:u w:val="single"/>
        </w:rPr>
        <w:br w:type="page"/>
      </w:r>
      <w:r>
        <w:rPr>
          <w:rFonts w:hint="eastAsia" w:ascii="宋体" w:hAnsi="宋体" w:cs="宋体"/>
          <w:b/>
          <w:color w:val="auto"/>
          <w:sz w:val="24"/>
          <w:szCs w:val="24"/>
          <w:highlight w:val="none"/>
        </w:rPr>
        <w:t>合同条款前附表</w:t>
      </w:r>
    </w:p>
    <w:tbl>
      <w:tblPr>
        <w:tblStyle w:val="15"/>
        <w:tblpPr w:leftFromText="180" w:rightFromText="180" w:vertAnchor="text" w:horzAnchor="page" w:tblpX="1487" w:tblpY="5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409"/>
        <w:gridCol w:w="2014"/>
        <w:gridCol w:w="5995"/>
      </w:tblGrid>
      <w:tr w14:paraId="756B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0"/>
            <w:vAlign w:val="center"/>
          </w:tcPr>
          <w:p w14:paraId="6997F8A6">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418" w:type="dxa"/>
            <w:gridSpan w:val="3"/>
            <w:noWrap w:val="0"/>
            <w:vAlign w:val="center"/>
          </w:tcPr>
          <w:p w14:paraId="37E2333D">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14:paraId="4A1B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655" w:type="dxa"/>
            <w:noWrap w:val="0"/>
            <w:vAlign w:val="center"/>
          </w:tcPr>
          <w:p w14:paraId="37A7B7AE">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423" w:type="dxa"/>
            <w:gridSpan w:val="2"/>
            <w:noWrap w:val="0"/>
            <w:vAlign w:val="center"/>
          </w:tcPr>
          <w:p w14:paraId="6BE6FF97">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合同名称</w:t>
            </w:r>
          </w:p>
        </w:tc>
        <w:tc>
          <w:tcPr>
            <w:tcW w:w="5995" w:type="dxa"/>
            <w:noWrap w:val="0"/>
            <w:vAlign w:val="center"/>
          </w:tcPr>
          <w:p w14:paraId="070A5553">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国家税务总局钦州市钦南区税务局食堂食材配送项目</w:t>
            </w:r>
          </w:p>
        </w:tc>
      </w:tr>
      <w:tr w14:paraId="20B0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655" w:type="dxa"/>
            <w:noWrap w:val="0"/>
            <w:vAlign w:val="center"/>
          </w:tcPr>
          <w:p w14:paraId="730164D4">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423" w:type="dxa"/>
            <w:gridSpan w:val="2"/>
            <w:noWrap w:val="0"/>
            <w:vAlign w:val="center"/>
          </w:tcPr>
          <w:p w14:paraId="1D00462A">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合同编号</w:t>
            </w:r>
          </w:p>
        </w:tc>
        <w:tc>
          <w:tcPr>
            <w:tcW w:w="5995" w:type="dxa"/>
            <w:noWrap w:val="0"/>
            <w:vAlign w:val="center"/>
          </w:tcPr>
          <w:p w14:paraId="15A2D2A2">
            <w:pPr>
              <w:keepNext w:val="0"/>
              <w:keepLines w:val="0"/>
              <w:pageBreakBefore w:val="0"/>
              <w:tabs>
                <w:tab w:val="left" w:pos="2160"/>
              </w:tabs>
              <w:kinsoku/>
              <w:wordWrap/>
              <w:overflowPunct/>
              <w:topLinePunct/>
              <w:autoSpaceDE w:val="0"/>
              <w:autoSpaceDN w:val="0"/>
              <w:bidi w:val="0"/>
              <w:adjustRightInd w:val="0"/>
              <w:snapToGrid w:val="0"/>
              <w:spacing w:line="360" w:lineRule="auto"/>
              <w:rPr>
                <w:rFonts w:hint="eastAsia" w:ascii="宋体" w:hAnsi="宋体" w:eastAsia="宋体" w:cs="宋体"/>
                <w:bCs/>
                <w:color w:val="auto"/>
                <w:sz w:val="21"/>
                <w:szCs w:val="21"/>
                <w:highlight w:val="none"/>
                <w:lang w:val="en-US" w:eastAsia="zh-CN"/>
              </w:rPr>
            </w:pPr>
          </w:p>
        </w:tc>
      </w:tr>
      <w:tr w14:paraId="09B3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0"/>
            <w:vAlign w:val="center"/>
          </w:tcPr>
          <w:p w14:paraId="2F9DD0C5">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423" w:type="dxa"/>
            <w:gridSpan w:val="2"/>
            <w:noWrap w:val="0"/>
            <w:vAlign w:val="center"/>
          </w:tcPr>
          <w:p w14:paraId="57FEEA96">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合同类型</w:t>
            </w:r>
          </w:p>
        </w:tc>
        <w:tc>
          <w:tcPr>
            <w:tcW w:w="5995" w:type="dxa"/>
            <w:noWrap w:val="0"/>
            <w:vAlign w:val="center"/>
          </w:tcPr>
          <w:p w14:paraId="0BA4395D">
            <w:pPr>
              <w:keepNext w:val="0"/>
              <w:keepLines w:val="0"/>
              <w:pageBreakBefore w:val="0"/>
              <w:tabs>
                <w:tab w:val="left" w:pos="2160"/>
              </w:tabs>
              <w:kinsoku/>
              <w:wordWrap/>
              <w:overflowPunct/>
              <w:topLinePunct/>
              <w:autoSpaceDE w:val="0"/>
              <w:autoSpaceDN w:val="0"/>
              <w:bidi w:val="0"/>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rPr>
              <w:t>类</w:t>
            </w:r>
          </w:p>
        </w:tc>
      </w:tr>
      <w:tr w14:paraId="2501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noWrap w:val="0"/>
            <w:vAlign w:val="center"/>
          </w:tcPr>
          <w:p w14:paraId="180F315A">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423" w:type="dxa"/>
            <w:gridSpan w:val="2"/>
            <w:noWrap w:val="0"/>
            <w:vAlign w:val="center"/>
          </w:tcPr>
          <w:p w14:paraId="2ED9F159">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定价方式</w:t>
            </w:r>
          </w:p>
        </w:tc>
        <w:tc>
          <w:tcPr>
            <w:tcW w:w="5995" w:type="dxa"/>
            <w:noWrap w:val="0"/>
            <w:vAlign w:val="center"/>
          </w:tcPr>
          <w:p w14:paraId="37C2C6DB">
            <w:pPr>
              <w:keepNext w:val="0"/>
              <w:keepLines w:val="0"/>
              <w:pageBreakBefore w:val="0"/>
              <w:tabs>
                <w:tab w:val="left" w:pos="2160"/>
              </w:tabs>
              <w:kinsoku/>
              <w:wordWrap/>
              <w:overflowPunct/>
              <w:topLinePunct/>
              <w:autoSpaceDE w:val="0"/>
              <w:autoSpaceDN w:val="0"/>
              <w:bidi w:val="0"/>
              <w:adjustRightInd w:val="0"/>
              <w:snapToGrid w:val="0"/>
              <w:spacing w:line="360" w:lineRule="auto"/>
              <w:rPr>
                <w:rFonts w:hint="default"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固定</w:t>
            </w:r>
            <w:r>
              <w:rPr>
                <w:rFonts w:hint="eastAsia" w:ascii="宋体" w:hAnsi="宋体" w:cs="宋体"/>
                <w:b w:val="0"/>
                <w:bCs w:val="0"/>
                <w:color w:val="auto"/>
                <w:sz w:val="21"/>
                <w:szCs w:val="21"/>
                <w:highlight w:val="none"/>
                <w:lang w:val="en-US" w:eastAsia="zh-CN"/>
              </w:rPr>
              <w:t>单价</w:t>
            </w:r>
          </w:p>
        </w:tc>
      </w:tr>
      <w:tr w14:paraId="4FA8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0"/>
            <w:vAlign w:val="center"/>
          </w:tcPr>
          <w:p w14:paraId="24EF02E4">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423" w:type="dxa"/>
            <w:gridSpan w:val="2"/>
            <w:noWrap w:val="0"/>
            <w:vAlign w:val="center"/>
          </w:tcPr>
          <w:p w14:paraId="313BF1FE">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甲方名称</w:t>
            </w:r>
          </w:p>
        </w:tc>
        <w:tc>
          <w:tcPr>
            <w:tcW w:w="5995" w:type="dxa"/>
            <w:noWrap w:val="0"/>
            <w:vAlign w:val="center"/>
          </w:tcPr>
          <w:p w14:paraId="1DBAEFA8">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国家税务总局钦州市钦南区税务局</w:t>
            </w:r>
          </w:p>
        </w:tc>
      </w:tr>
      <w:tr w14:paraId="2666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0E968534">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14:paraId="5B263BF1">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甲方地址</w:t>
            </w:r>
          </w:p>
        </w:tc>
        <w:tc>
          <w:tcPr>
            <w:tcW w:w="5995" w:type="dxa"/>
            <w:noWrap w:val="0"/>
            <w:vAlign w:val="center"/>
          </w:tcPr>
          <w:p w14:paraId="0CD88601">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6150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4061D4F0">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restart"/>
            <w:noWrap w:val="0"/>
            <w:vAlign w:val="center"/>
          </w:tcPr>
          <w:p w14:paraId="05526729">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甲方相关部门</w:t>
            </w:r>
          </w:p>
        </w:tc>
        <w:tc>
          <w:tcPr>
            <w:tcW w:w="2014" w:type="dxa"/>
            <w:noWrap w:val="0"/>
            <w:vAlign w:val="center"/>
          </w:tcPr>
          <w:p w14:paraId="49219C58">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甲方采购部门</w:t>
            </w:r>
          </w:p>
        </w:tc>
        <w:tc>
          <w:tcPr>
            <w:tcW w:w="5995" w:type="dxa"/>
            <w:noWrap w:val="0"/>
            <w:vAlign w:val="center"/>
          </w:tcPr>
          <w:p w14:paraId="65C06989">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14:paraId="40C4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65AB26DB">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14:paraId="1CB2E3D2">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14:paraId="44F2435B">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5995" w:type="dxa"/>
            <w:noWrap w:val="0"/>
            <w:vAlign w:val="center"/>
          </w:tcPr>
          <w:p w14:paraId="4763B224">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672C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64304487">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14:paraId="1192B430">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14:paraId="1B7D9EBF">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995" w:type="dxa"/>
            <w:noWrap w:val="0"/>
            <w:vAlign w:val="center"/>
          </w:tcPr>
          <w:p w14:paraId="37D37310">
            <w:pPr>
              <w:pStyle w:val="10"/>
              <w:spacing w:line="360" w:lineRule="auto"/>
              <w:jc w:val="left"/>
              <w:rPr>
                <w:rFonts w:hint="eastAsia" w:ascii="宋体" w:hAnsi="宋体" w:eastAsia="宋体" w:cs="宋体"/>
                <w:color w:val="auto"/>
                <w:sz w:val="21"/>
                <w:szCs w:val="21"/>
                <w:highlight w:val="none"/>
              </w:rPr>
            </w:pPr>
          </w:p>
        </w:tc>
      </w:tr>
      <w:tr w14:paraId="3707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0AD0EBE8">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14:paraId="5AB424BC">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14:paraId="0BC8B619">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需求部门</w:t>
            </w:r>
          </w:p>
        </w:tc>
        <w:tc>
          <w:tcPr>
            <w:tcW w:w="5995" w:type="dxa"/>
            <w:noWrap w:val="0"/>
            <w:vAlign w:val="center"/>
          </w:tcPr>
          <w:p w14:paraId="418A0D46">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7E00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7828F6E9">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14:paraId="4D4800D6">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14:paraId="1021E738">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5995" w:type="dxa"/>
            <w:noWrap w:val="0"/>
            <w:vAlign w:val="center"/>
          </w:tcPr>
          <w:p w14:paraId="144CEB47">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7294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31455FBA">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409" w:type="dxa"/>
            <w:vMerge w:val="continue"/>
            <w:noWrap w:val="0"/>
            <w:vAlign w:val="center"/>
          </w:tcPr>
          <w:p w14:paraId="3C6C884D">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p>
        </w:tc>
        <w:tc>
          <w:tcPr>
            <w:tcW w:w="2014" w:type="dxa"/>
            <w:noWrap w:val="0"/>
            <w:vAlign w:val="center"/>
          </w:tcPr>
          <w:p w14:paraId="2669E876">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995" w:type="dxa"/>
            <w:noWrap w:val="0"/>
            <w:vAlign w:val="center"/>
          </w:tcPr>
          <w:p w14:paraId="4FBCF7B6">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24E7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restart"/>
            <w:noWrap w:val="0"/>
            <w:vAlign w:val="center"/>
          </w:tcPr>
          <w:p w14:paraId="0AB54E34">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423" w:type="dxa"/>
            <w:gridSpan w:val="2"/>
            <w:noWrap w:val="0"/>
            <w:vAlign w:val="center"/>
          </w:tcPr>
          <w:p w14:paraId="3352754C">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乙方名称</w:t>
            </w:r>
          </w:p>
        </w:tc>
        <w:tc>
          <w:tcPr>
            <w:tcW w:w="5995" w:type="dxa"/>
            <w:noWrap w:val="0"/>
            <w:vAlign w:val="center"/>
          </w:tcPr>
          <w:p w14:paraId="5FB81D47">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1448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655" w:type="dxa"/>
            <w:vMerge w:val="continue"/>
            <w:noWrap w:val="0"/>
            <w:vAlign w:val="center"/>
          </w:tcPr>
          <w:p w14:paraId="2A40D3FB">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14:paraId="414E0DC7">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乙方企业性质</w:t>
            </w:r>
          </w:p>
        </w:tc>
        <w:tc>
          <w:tcPr>
            <w:tcW w:w="5995" w:type="dxa"/>
            <w:noWrap w:val="0"/>
            <w:vAlign w:val="center"/>
          </w:tcPr>
          <w:p w14:paraId="407F470F">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sym w:font="Wingdings 2" w:char="00A3"/>
            </w:r>
            <w:r>
              <w:rPr>
                <w:rFonts w:hint="eastAsia" w:ascii="宋体" w:hAnsi="宋体" w:eastAsia="宋体" w:cs="宋体"/>
                <w:color w:val="auto"/>
                <w:sz w:val="21"/>
                <w:szCs w:val="21"/>
                <w:highlight w:val="none"/>
              </w:rPr>
              <w:t xml:space="preserve"> 中型企业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小型企业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微型企业    </w:t>
            </w:r>
          </w:p>
          <w:p w14:paraId="4AF26996">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监狱企业</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残疾人福利性单位    </w:t>
            </w: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 xml:space="preserve"> 其他</w:t>
            </w:r>
          </w:p>
        </w:tc>
      </w:tr>
      <w:tr w14:paraId="04D7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7C501E53">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14:paraId="7B7AB674">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乙方地址</w:t>
            </w:r>
          </w:p>
        </w:tc>
        <w:tc>
          <w:tcPr>
            <w:tcW w:w="5995" w:type="dxa"/>
            <w:noWrap w:val="0"/>
            <w:vAlign w:val="center"/>
          </w:tcPr>
          <w:p w14:paraId="1122ABF4">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14:paraId="271C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548CA5D5">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14:paraId="23599B52">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乙方联系人</w:t>
            </w:r>
          </w:p>
        </w:tc>
        <w:tc>
          <w:tcPr>
            <w:tcW w:w="5995" w:type="dxa"/>
            <w:noWrap w:val="0"/>
            <w:vAlign w:val="center"/>
          </w:tcPr>
          <w:p w14:paraId="0E644684">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p>
        </w:tc>
      </w:tr>
      <w:tr w14:paraId="1C6D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4F2FB1B7">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14:paraId="406366EC">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5995" w:type="dxa"/>
            <w:noWrap w:val="0"/>
            <w:vAlign w:val="center"/>
          </w:tcPr>
          <w:p w14:paraId="67D23C82">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val="en-US" w:eastAsia="zh-CN"/>
              </w:rPr>
            </w:pPr>
          </w:p>
        </w:tc>
      </w:tr>
      <w:tr w14:paraId="5CE6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0B4034AB">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14:paraId="5A27F80A">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995" w:type="dxa"/>
            <w:noWrap w:val="0"/>
            <w:vAlign w:val="center"/>
          </w:tcPr>
          <w:p w14:paraId="6AF08033">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2AAA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07623F62">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14:paraId="2D4CE75B">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开户行</w:t>
            </w:r>
          </w:p>
        </w:tc>
        <w:tc>
          <w:tcPr>
            <w:tcW w:w="5995" w:type="dxa"/>
            <w:noWrap w:val="0"/>
            <w:vAlign w:val="center"/>
          </w:tcPr>
          <w:p w14:paraId="13E9E561">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017D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55" w:type="dxa"/>
            <w:vMerge w:val="continue"/>
            <w:noWrap w:val="0"/>
            <w:vAlign w:val="center"/>
          </w:tcPr>
          <w:p w14:paraId="139558C1">
            <w:pPr>
              <w:keepNext w:val="0"/>
              <w:keepLines w:val="0"/>
              <w:pageBreakBefore w:val="0"/>
              <w:widowControl/>
              <w:kinsoku/>
              <w:wordWrap/>
              <w:overflowPunct/>
              <w:bidi w:val="0"/>
              <w:adjustRightInd w:val="0"/>
              <w:snapToGrid w:val="0"/>
              <w:spacing w:line="360" w:lineRule="auto"/>
              <w:rPr>
                <w:rFonts w:hint="eastAsia" w:ascii="宋体" w:hAnsi="宋体" w:eastAsia="宋体" w:cs="宋体"/>
                <w:color w:val="auto"/>
                <w:sz w:val="21"/>
                <w:szCs w:val="21"/>
                <w:highlight w:val="none"/>
              </w:rPr>
            </w:pPr>
          </w:p>
        </w:tc>
        <w:tc>
          <w:tcPr>
            <w:tcW w:w="2423" w:type="dxa"/>
            <w:gridSpan w:val="2"/>
            <w:noWrap w:val="0"/>
            <w:vAlign w:val="center"/>
          </w:tcPr>
          <w:p w14:paraId="1E525559">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银行账号</w:t>
            </w:r>
          </w:p>
        </w:tc>
        <w:tc>
          <w:tcPr>
            <w:tcW w:w="5995" w:type="dxa"/>
            <w:noWrap w:val="0"/>
            <w:vAlign w:val="center"/>
          </w:tcPr>
          <w:p w14:paraId="07272912">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3228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55" w:type="dxa"/>
            <w:noWrap w:val="0"/>
            <w:vAlign w:val="center"/>
          </w:tcPr>
          <w:p w14:paraId="693AE69B">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2423" w:type="dxa"/>
            <w:gridSpan w:val="2"/>
            <w:noWrap w:val="0"/>
            <w:vAlign w:val="center"/>
          </w:tcPr>
          <w:p w14:paraId="5CCE96F5">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成交下浮系数</w:t>
            </w:r>
          </w:p>
        </w:tc>
        <w:tc>
          <w:tcPr>
            <w:tcW w:w="5995" w:type="dxa"/>
            <w:noWrap w:val="0"/>
            <w:vAlign w:val="center"/>
          </w:tcPr>
          <w:p w14:paraId="0B773ADC">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p>
        </w:tc>
      </w:tr>
      <w:tr w14:paraId="6286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55" w:type="dxa"/>
            <w:noWrap w:val="0"/>
            <w:vAlign w:val="center"/>
          </w:tcPr>
          <w:p w14:paraId="73E74B53">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423" w:type="dxa"/>
            <w:gridSpan w:val="2"/>
            <w:noWrap w:val="0"/>
            <w:vAlign w:val="center"/>
          </w:tcPr>
          <w:p w14:paraId="2E465616">
            <w:pPr>
              <w:tabs>
                <w:tab w:val="left" w:pos="700"/>
              </w:tabs>
              <w:adjustRightInd w:val="0"/>
              <w:snapToGrid w:val="0"/>
              <w:spacing w:line="380" w:lineRule="exact"/>
              <w:jc w:val="center"/>
              <w:rPr>
                <w:rFonts w:hint="eastAsia" w:ascii="宋体" w:hAnsi="宋体" w:eastAsia="宋体" w:cs="宋体"/>
                <w:color w:val="auto"/>
                <w:sz w:val="21"/>
                <w:szCs w:val="21"/>
                <w:highlight w:val="none"/>
              </w:rPr>
            </w:pPr>
            <w:r>
              <w:rPr>
                <w:rFonts w:ascii="宋体" w:hAnsi="宋体" w:eastAsia="宋体" w:cs="Times New Roman"/>
                <w:color w:val="auto"/>
                <w:szCs w:val="21"/>
                <w:highlight w:val="none"/>
              </w:rPr>
              <w:t>交货时间和地点</w:t>
            </w:r>
          </w:p>
        </w:tc>
        <w:tc>
          <w:tcPr>
            <w:tcW w:w="5995" w:type="dxa"/>
            <w:noWrap w:val="0"/>
            <w:vAlign w:val="center"/>
          </w:tcPr>
          <w:p w14:paraId="5F7700F8">
            <w:pPr>
              <w:tabs>
                <w:tab w:val="left" w:pos="700"/>
              </w:tabs>
              <w:adjustRightInd w:val="0"/>
              <w:snapToGrid w:val="0"/>
              <w:spacing w:line="380" w:lineRule="exact"/>
              <w:rPr>
                <w:rFonts w:hint="eastAsia"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时间：</w:t>
            </w:r>
            <w:r>
              <w:rPr>
                <w:rFonts w:hint="eastAsia" w:ascii="宋体" w:hAnsi="宋体" w:eastAsia="宋体" w:cs="Times New Roman"/>
                <w:color w:val="auto"/>
                <w:szCs w:val="21"/>
                <w:highlight w:val="none"/>
              </w:rPr>
              <w:t>每日上午</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时30分前（特殊情况以采购人要求为准）</w:t>
            </w:r>
            <w:r>
              <w:rPr>
                <w:rFonts w:hint="eastAsia" w:ascii="宋体" w:hAnsi="宋体" w:cs="Times New Roman"/>
                <w:color w:val="auto"/>
                <w:szCs w:val="21"/>
                <w:highlight w:val="none"/>
                <w:lang w:eastAsia="zh-CN"/>
              </w:rPr>
              <w:t>。</w:t>
            </w:r>
          </w:p>
          <w:p w14:paraId="5454E5FF">
            <w:pPr>
              <w:tabs>
                <w:tab w:val="left" w:pos="700"/>
              </w:tabs>
              <w:adjustRightInd w:val="0"/>
              <w:snapToGrid w:val="0"/>
              <w:spacing w:line="380" w:lineRule="exact"/>
              <w:rPr>
                <w:rFonts w:hint="eastAsia" w:ascii="宋体" w:hAnsi="宋体" w:eastAsia="宋体" w:cs="宋体"/>
                <w:color w:val="auto"/>
                <w:sz w:val="21"/>
                <w:szCs w:val="21"/>
                <w:highlight w:val="none"/>
              </w:rPr>
            </w:pPr>
            <w:r>
              <w:rPr>
                <w:rFonts w:ascii="宋体" w:hAnsi="宋体" w:eastAsia="宋体" w:cs="Times New Roman"/>
                <w:color w:val="auto"/>
                <w:szCs w:val="21"/>
                <w:highlight w:val="none"/>
              </w:rPr>
              <w:t>地点：</w:t>
            </w:r>
            <w:r>
              <w:rPr>
                <w:rFonts w:hint="eastAsia" w:ascii="宋体" w:hAnsi="宋体" w:eastAsia="宋体" w:cs="Times New Roman"/>
                <w:color w:val="auto"/>
                <w:szCs w:val="21"/>
                <w:highlight w:val="none"/>
              </w:rPr>
              <w:t>免费送货至</w:t>
            </w:r>
            <w:r>
              <w:rPr>
                <w:rFonts w:hint="eastAsia" w:ascii="宋体" w:hAnsi="宋体" w:cs="Times New Roman"/>
                <w:color w:val="auto"/>
                <w:szCs w:val="21"/>
                <w:highlight w:val="none"/>
                <w:lang w:eastAsia="zh-CN"/>
              </w:rPr>
              <w:t>甲方</w:t>
            </w:r>
            <w:r>
              <w:rPr>
                <w:rFonts w:hint="eastAsia" w:ascii="宋体" w:hAnsi="宋体" w:eastAsia="宋体" w:cs="Times New Roman"/>
                <w:color w:val="auto"/>
                <w:szCs w:val="21"/>
                <w:highlight w:val="none"/>
              </w:rPr>
              <w:t>指定地点，并由</w:t>
            </w:r>
            <w:r>
              <w:rPr>
                <w:rFonts w:hint="eastAsia" w:ascii="宋体" w:hAnsi="宋体" w:cs="Times New Roman"/>
                <w:color w:val="auto"/>
                <w:szCs w:val="21"/>
                <w:highlight w:val="none"/>
                <w:lang w:eastAsia="zh-CN"/>
              </w:rPr>
              <w:t>乙方</w:t>
            </w:r>
            <w:r>
              <w:rPr>
                <w:rFonts w:hint="eastAsia" w:ascii="宋体" w:hAnsi="宋体" w:eastAsia="宋体" w:cs="Times New Roman"/>
                <w:color w:val="auto"/>
                <w:szCs w:val="21"/>
                <w:highlight w:val="none"/>
              </w:rPr>
              <w:t>负责装卸</w:t>
            </w:r>
            <w:r>
              <w:rPr>
                <w:rFonts w:hint="eastAsia" w:ascii="宋体" w:hAnsi="宋体" w:eastAsia="宋体" w:cs="宋体"/>
                <w:color w:val="auto"/>
                <w:sz w:val="21"/>
                <w:szCs w:val="21"/>
                <w:highlight w:val="none"/>
                <w:lang w:eastAsia="zh-CN"/>
              </w:rPr>
              <w:t>。</w:t>
            </w:r>
          </w:p>
        </w:tc>
      </w:tr>
      <w:tr w14:paraId="07A1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655" w:type="dxa"/>
            <w:noWrap w:val="0"/>
            <w:vAlign w:val="center"/>
          </w:tcPr>
          <w:p w14:paraId="3E850305">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423" w:type="dxa"/>
            <w:gridSpan w:val="2"/>
            <w:noWrap w:val="0"/>
            <w:vAlign w:val="center"/>
          </w:tcPr>
          <w:p w14:paraId="140BC848">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合同付款</w:t>
            </w:r>
          </w:p>
        </w:tc>
        <w:tc>
          <w:tcPr>
            <w:tcW w:w="5995" w:type="dxa"/>
            <w:noWrap w:val="0"/>
            <w:vAlign w:val="center"/>
          </w:tcPr>
          <w:p w14:paraId="13119057">
            <w:pPr>
              <w:tabs>
                <w:tab w:val="center" w:pos="4890"/>
              </w:tabs>
              <w:adjustRightInd/>
              <w:snapToGrid/>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合同以人民币结算，付款方式：</w:t>
            </w:r>
          </w:p>
          <w:p w14:paraId="55AD9562">
            <w:pPr>
              <w:pageBreakBefore w:val="0"/>
              <w:widowControl w:val="0"/>
              <w:tabs>
                <w:tab w:val="center" w:pos="48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1、本项目采用先供货后对账再结算方式，无预付款。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须每月</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日将</w:t>
            </w:r>
            <w:r>
              <w:rPr>
                <w:rFonts w:hint="eastAsia" w:ascii="宋体" w:hAnsi="宋体" w:eastAsia="宋体" w:cs="宋体"/>
                <w:color w:val="auto"/>
                <w:sz w:val="21"/>
                <w:szCs w:val="21"/>
                <w:highlight w:val="none"/>
                <w:lang w:eastAsia="zh-CN"/>
              </w:rPr>
              <w:t>上</w:t>
            </w:r>
            <w:r>
              <w:rPr>
                <w:rFonts w:hint="eastAsia" w:ascii="宋体" w:hAnsi="宋体" w:eastAsia="宋体" w:cs="宋体"/>
                <w:color w:val="auto"/>
                <w:sz w:val="21"/>
                <w:szCs w:val="21"/>
                <w:highlight w:val="none"/>
              </w:rPr>
              <w:t>个月配送清单及汇总表交</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审核确认，</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按审核确认后的结算金额开具等额发票给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据双方核定的金额每个月结算一次货款。</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收到发票及相关票据后7个工作日内，以银行转账方式向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支付货款。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须按时足额提供发票及相关票据，否则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有权拒绝付款而不构成违约。</w:t>
            </w:r>
          </w:p>
          <w:p w14:paraId="134796F4">
            <w:pPr>
              <w:pageBreakBefore w:val="0"/>
              <w:widowControl w:val="0"/>
              <w:tabs>
                <w:tab w:val="center" w:pos="48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、物品供应价格：由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每半个月进行一次市场调查，形成市场价格目录表提供给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根据其提供的市场价格目录表进行市场核价，双方按核查后的市场价格作为此期间的供应价格。</w:t>
            </w:r>
            <w:r>
              <w:rPr>
                <w:rFonts w:hint="eastAsia" w:ascii="宋体" w:hAnsi="宋体" w:eastAsia="宋体" w:cs="宋体"/>
                <w:color w:val="auto"/>
                <w:sz w:val="21"/>
                <w:szCs w:val="21"/>
                <w:highlight w:val="none"/>
              </w:rPr>
              <w:t>本项目市场调查地点为</w:t>
            </w:r>
            <w:r>
              <w:rPr>
                <w:rFonts w:hint="eastAsia" w:ascii="宋体" w:hAnsi="宋体" w:cs="宋体"/>
                <w:color w:val="auto"/>
                <w:sz w:val="21"/>
                <w:szCs w:val="21"/>
                <w:highlight w:val="none"/>
                <w:lang w:eastAsia="zh-CN"/>
              </w:rPr>
              <w:t>钦州市商业大厦和东风市场</w:t>
            </w:r>
            <w:r>
              <w:rPr>
                <w:rFonts w:hint="eastAsia" w:ascii="宋体" w:hAnsi="宋体" w:eastAsia="宋体" w:cs="宋体"/>
                <w:color w:val="auto"/>
                <w:sz w:val="21"/>
                <w:szCs w:val="21"/>
                <w:highlight w:val="none"/>
              </w:rPr>
              <w:t>。</w:t>
            </w:r>
          </w:p>
          <w:p w14:paraId="42982091">
            <w:pPr>
              <w:pageBreakBefore w:val="0"/>
              <w:widowControl w:val="0"/>
              <w:tabs>
                <w:tab w:val="center" w:pos="489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、结算</w:t>
            </w:r>
            <w:r>
              <w:rPr>
                <w:rFonts w:hint="eastAsia" w:ascii="宋体" w:hAnsi="宋体" w:eastAsia="宋体" w:cs="宋体"/>
                <w:color w:val="auto"/>
                <w:sz w:val="21"/>
                <w:szCs w:val="21"/>
                <w:highlight w:val="none"/>
                <w:lang w:eastAsia="zh-CN"/>
              </w:rPr>
              <w:t>金额</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供应价格×数量×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1-成交</w:t>
            </w:r>
            <w:r>
              <w:rPr>
                <w:rFonts w:hint="eastAsia" w:ascii="宋体" w:hAnsi="宋体" w:eastAsia="宋体" w:cs="宋体"/>
                <w:color w:val="auto"/>
                <w:sz w:val="21"/>
                <w:szCs w:val="21"/>
                <w:highlight w:val="none"/>
                <w:lang w:eastAsia="zh-CN"/>
              </w:rPr>
              <w:t>下浮系数）</w:t>
            </w:r>
            <w:r>
              <w:rPr>
                <w:rFonts w:hint="eastAsia" w:ascii="宋体" w:hAnsi="宋体" w:eastAsia="宋体" w:cs="宋体"/>
                <w:color w:val="auto"/>
                <w:sz w:val="21"/>
                <w:szCs w:val="21"/>
                <w:highlight w:val="none"/>
              </w:rPr>
              <w:t>。在合同期内，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的下浮比例（%）不得以市场价格波动等情况进行调整，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应承担由此带来的相应风险。</w:t>
            </w:r>
            <w:r>
              <w:rPr>
                <w:rFonts w:hint="eastAsia" w:ascii="宋体" w:hAnsi="宋体" w:cs="宋体"/>
                <w:bCs/>
                <w:color w:val="auto"/>
                <w:szCs w:val="21"/>
                <w:highlight w:val="none"/>
                <w:lang w:eastAsia="zh-CN"/>
              </w:rPr>
              <w:t>结算方式为月结（如当月有考核有扣款情形的，则在结算时还应扣除相应的扣款金额）</w:t>
            </w:r>
          </w:p>
        </w:tc>
      </w:tr>
      <w:tr w14:paraId="6C0D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55" w:type="dxa"/>
            <w:noWrap w:val="0"/>
            <w:vAlign w:val="center"/>
          </w:tcPr>
          <w:p w14:paraId="7D369E36">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423" w:type="dxa"/>
            <w:gridSpan w:val="2"/>
            <w:noWrap w:val="0"/>
            <w:vAlign w:val="center"/>
          </w:tcPr>
          <w:p w14:paraId="44F6D715">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履约保证金及返还</w:t>
            </w:r>
          </w:p>
        </w:tc>
        <w:tc>
          <w:tcPr>
            <w:tcW w:w="5995" w:type="dxa"/>
            <w:noWrap w:val="0"/>
            <w:vAlign w:val="center"/>
          </w:tcPr>
          <w:p w14:paraId="68DCF999">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项目不要求提供履约保证金。</w:t>
            </w:r>
          </w:p>
          <w:p w14:paraId="77E29FE3">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本项目要求提供履约保证金。履约保证金为合同</w:t>
            </w:r>
            <w:r>
              <w:rPr>
                <w:rFonts w:hint="eastAsia" w:ascii="宋体" w:hAnsi="宋体" w:eastAsia="宋体" w:cs="宋体"/>
                <w:color w:val="auto"/>
                <w:sz w:val="21"/>
                <w:szCs w:val="21"/>
                <w:highlight w:val="none"/>
                <w:lang w:eastAsia="zh-CN"/>
              </w:rPr>
              <w:t>总</w:t>
            </w:r>
            <w:r>
              <w:rPr>
                <w:rFonts w:hint="eastAsia" w:ascii="宋体" w:hAnsi="宋体" w:eastAsia="宋体" w:cs="宋体"/>
                <w:color w:val="auto"/>
                <w:sz w:val="21"/>
                <w:szCs w:val="21"/>
                <w:highlight w:val="none"/>
              </w:rPr>
              <w:t>金额</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合同总金额＝本项目预算金额</w:t>
            </w:r>
            <w:r>
              <w:rPr>
                <w:rFonts w:hint="default" w:ascii="Arial" w:hAnsi="Arial" w:cs="Arial"/>
                <w:color w:val="auto"/>
                <w:sz w:val="21"/>
                <w:szCs w:val="21"/>
                <w:highlight w:val="none"/>
                <w:lang w:eastAsia="zh-CN"/>
              </w:rPr>
              <w:t>×</w:t>
            </w:r>
            <w:r>
              <w:rPr>
                <w:rFonts w:hint="eastAsia" w:ascii="Arial" w:hAnsi="Arial" w:cs="Arial"/>
                <w:color w:val="auto"/>
                <w:sz w:val="21"/>
                <w:szCs w:val="21"/>
                <w:highlight w:val="none"/>
                <w:lang w:eastAsia="zh-CN"/>
              </w:rPr>
              <w:t>（</w:t>
            </w:r>
            <w:r>
              <w:rPr>
                <w:rFonts w:hint="eastAsia" w:ascii="宋体" w:hAnsi="宋体" w:cs="宋体"/>
                <w:color w:val="auto"/>
                <w:sz w:val="21"/>
                <w:szCs w:val="21"/>
                <w:highlight w:val="none"/>
                <w:lang w:val="en-US" w:eastAsia="zh-CN"/>
              </w:rPr>
              <w:t>1-成交下浮系数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，即人民币</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none"/>
                <w:lang w:val="en" w:eastAsia="zh-CN"/>
              </w:rPr>
              <w:t>元</w:t>
            </w:r>
            <w:r>
              <w:rPr>
                <w:rFonts w:hint="eastAsia" w:ascii="宋体" w:hAnsi="宋体" w:eastAsia="宋体" w:cs="宋体"/>
                <w:color w:val="auto"/>
                <w:sz w:val="21"/>
                <w:szCs w:val="21"/>
                <w:highlight w:val="none"/>
              </w:rPr>
              <w:t>整（¥</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Calibri" w:hAnsi="Calibri" w:cs="Calibri"/>
                <w:color w:val="auto"/>
                <w:highlight w:val="none"/>
              </w:rPr>
              <w:t>乙方</w:t>
            </w:r>
            <w:r>
              <w:rPr>
                <w:rFonts w:hAnsi="宋体"/>
                <w:color w:val="auto"/>
                <w:highlight w:val="none"/>
              </w:rPr>
              <w:t>在签订合同前</w:t>
            </w:r>
            <w:r>
              <w:rPr>
                <w:rFonts w:hint="eastAsia" w:hAnsi="宋体"/>
                <w:color w:val="auto"/>
                <w:highlight w:val="none"/>
              </w:rPr>
              <w:t>应提交履约保证金，</w:t>
            </w:r>
            <w:r>
              <w:rPr>
                <w:rFonts w:hAnsi="宋体"/>
                <w:color w:val="auto"/>
                <w:highlight w:val="none"/>
              </w:rPr>
              <w:t>否则，不予签订合同</w:t>
            </w:r>
            <w:r>
              <w:rPr>
                <w:rFonts w:hint="eastAsia" w:ascii="宋体" w:hAnsi="宋体" w:eastAsia="宋体" w:cs="宋体"/>
                <w:color w:val="auto"/>
                <w:sz w:val="21"/>
                <w:szCs w:val="21"/>
                <w:highlight w:val="none"/>
              </w:rPr>
              <w:t>。提交方式为银行电汇、金融机构或担保机构出具的保函。在合同履行期满，扣除应扣除的款项（如有）且双方无争议后，无息返还。</w:t>
            </w:r>
          </w:p>
          <w:p w14:paraId="3B3FF63D">
            <w:pPr>
              <w:keepNext w:val="0"/>
              <w:keepLines w:val="0"/>
              <w:pageBreakBefore w:val="0"/>
              <w:tabs>
                <w:tab w:val="left" w:pos="700"/>
              </w:tabs>
              <w:kinsoku/>
              <w:wordWrap/>
              <w:overflowPunct/>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办理返还履约保证金时，乙方应提供履约保证金返还申请（格式另附）、</w:t>
            </w:r>
            <w:r>
              <w:rPr>
                <w:rFonts w:hint="eastAsia" w:ascii="宋体" w:hAnsi="宋体" w:eastAsia="宋体" w:cs="宋体"/>
                <w:color w:val="auto"/>
                <w:sz w:val="21"/>
                <w:szCs w:val="21"/>
                <w:highlight w:val="none"/>
                <w:lang w:eastAsia="zh-CN"/>
              </w:rPr>
              <w:t>合同或</w:t>
            </w:r>
            <w:r>
              <w:rPr>
                <w:rFonts w:hint="eastAsia" w:ascii="宋体" w:hAnsi="宋体" w:eastAsia="宋体" w:cs="宋体"/>
                <w:color w:val="auto"/>
                <w:sz w:val="21"/>
                <w:szCs w:val="21"/>
                <w:highlight w:val="none"/>
              </w:rPr>
              <w:t>合同关键页复印件、合同约定的其他资料。涉及验收的，应同时提交甲方</w:t>
            </w:r>
            <w:r>
              <w:rPr>
                <w:rFonts w:hint="eastAsia" w:ascii="宋体" w:hAnsi="宋体" w:eastAsia="宋体" w:cs="宋体"/>
                <w:color w:val="auto"/>
                <w:sz w:val="21"/>
                <w:szCs w:val="21"/>
                <w:highlight w:val="none"/>
                <w:lang w:eastAsia="zh-CN"/>
              </w:rPr>
              <w:t>需求部门</w:t>
            </w:r>
            <w:r>
              <w:rPr>
                <w:rFonts w:hint="eastAsia" w:ascii="宋体" w:hAnsi="宋体" w:eastAsia="宋体" w:cs="宋体"/>
                <w:color w:val="auto"/>
                <w:sz w:val="21"/>
                <w:szCs w:val="21"/>
                <w:highlight w:val="none"/>
              </w:rPr>
              <w:t>出具的项目终验意见或</w:t>
            </w:r>
            <w:r>
              <w:rPr>
                <w:rFonts w:hint="eastAsia" w:ascii="宋体" w:hAnsi="宋体" w:eastAsia="宋体" w:cs="宋体"/>
                <w:color w:val="auto"/>
                <w:sz w:val="21"/>
                <w:szCs w:val="21"/>
                <w:highlight w:val="none"/>
                <w:lang w:eastAsia="zh-CN"/>
              </w:rPr>
              <w:t>质量保证</w:t>
            </w:r>
            <w:r>
              <w:rPr>
                <w:rFonts w:hint="eastAsia" w:ascii="宋体" w:hAnsi="宋体" w:eastAsia="宋体" w:cs="宋体"/>
                <w:color w:val="auto"/>
                <w:sz w:val="21"/>
                <w:szCs w:val="21"/>
                <w:highlight w:val="none"/>
              </w:rPr>
              <w:t>期（服务期）满验收意见。</w:t>
            </w:r>
          </w:p>
          <w:p w14:paraId="2E25D4BB">
            <w:pPr>
              <w:keepNext w:val="0"/>
              <w:keepLines w:val="0"/>
              <w:pageBreakBefore w:val="0"/>
              <w:tabs>
                <w:tab w:val="left" w:pos="700"/>
              </w:tabs>
              <w:kinsoku/>
              <w:wordWrap/>
              <w:overflowPunct/>
              <w:bidi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满足履约保证金返还条件的，甲方在收到返还相关信息等合同约定资料后，进行核实。对核实结果无异议的，自完成核实之日起30日内，以</w:t>
            </w:r>
            <w:r>
              <w:rPr>
                <w:rFonts w:hint="eastAsia" w:ascii="宋体" w:hAnsi="宋体" w:eastAsia="宋体" w:cs="宋体"/>
                <w:color w:val="auto"/>
                <w:sz w:val="21"/>
                <w:szCs w:val="21"/>
                <w:highlight w:val="none"/>
                <w:u w:val="single"/>
                <w:lang w:val="en-US" w:eastAsia="zh-CN"/>
              </w:rPr>
              <w:t>银行转账</w:t>
            </w:r>
            <w:r>
              <w:rPr>
                <w:rFonts w:hint="eastAsia" w:ascii="宋体" w:hAnsi="宋体" w:eastAsia="宋体" w:cs="宋体"/>
                <w:color w:val="auto"/>
                <w:sz w:val="21"/>
                <w:szCs w:val="21"/>
                <w:highlight w:val="none"/>
              </w:rPr>
              <w:t>方式返还履约保证金</w:t>
            </w:r>
            <w:r>
              <w:rPr>
                <w:rFonts w:hint="eastAsia" w:ascii="宋体" w:hAnsi="宋体" w:eastAsia="宋体" w:cs="宋体"/>
                <w:color w:val="auto"/>
                <w:sz w:val="21"/>
                <w:szCs w:val="21"/>
                <w:highlight w:val="none"/>
                <w:lang w:eastAsia="zh-CN"/>
              </w:rPr>
              <w:t>或退回保函</w:t>
            </w:r>
            <w:r>
              <w:rPr>
                <w:rFonts w:hint="eastAsia" w:ascii="宋体" w:hAnsi="宋体" w:eastAsia="宋体" w:cs="宋体"/>
                <w:color w:val="auto"/>
                <w:sz w:val="21"/>
                <w:szCs w:val="21"/>
                <w:highlight w:val="none"/>
              </w:rPr>
              <w:t>。</w:t>
            </w:r>
          </w:p>
        </w:tc>
      </w:tr>
      <w:tr w14:paraId="60F2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55" w:type="dxa"/>
            <w:noWrap w:val="0"/>
            <w:vAlign w:val="center"/>
          </w:tcPr>
          <w:p w14:paraId="09D8FF4B">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2423" w:type="dxa"/>
            <w:gridSpan w:val="2"/>
            <w:noWrap w:val="0"/>
            <w:vAlign w:val="center"/>
          </w:tcPr>
          <w:p w14:paraId="03E8362D">
            <w:pPr>
              <w:tabs>
                <w:tab w:val="left" w:pos="700"/>
              </w:tabs>
              <w:adjustRightInd w:val="0"/>
              <w:snapToGrid w:val="0"/>
              <w:spacing w:line="380" w:lineRule="exact"/>
              <w:jc w:val="center"/>
              <w:rPr>
                <w:rFonts w:hint="eastAsia" w:ascii="宋体" w:hAnsi="宋体" w:eastAsia="宋体" w:cs="宋体"/>
                <w:color w:val="auto"/>
                <w:sz w:val="21"/>
                <w:szCs w:val="21"/>
                <w:highlight w:val="none"/>
                <w:lang w:val="en" w:eastAsia="zh-CN"/>
              </w:rPr>
            </w:pPr>
            <w:r>
              <w:rPr>
                <w:rFonts w:ascii="宋体" w:hAnsi="宋体" w:eastAsia="宋体" w:cs="Times New Roman"/>
                <w:color w:val="auto"/>
                <w:szCs w:val="21"/>
                <w:highlight w:val="none"/>
              </w:rPr>
              <w:t>合同履行期限</w:t>
            </w:r>
          </w:p>
        </w:tc>
        <w:tc>
          <w:tcPr>
            <w:tcW w:w="5995" w:type="dxa"/>
            <w:noWrap w:val="0"/>
            <w:vAlign w:val="center"/>
          </w:tcPr>
          <w:p w14:paraId="277E2D01">
            <w:pPr>
              <w:tabs>
                <w:tab w:val="left" w:pos="700"/>
              </w:tabs>
              <w:adjustRightInd w:val="0"/>
              <w:snapToGrid w:val="0"/>
              <w:spacing w:line="380" w:lineRule="exact"/>
              <w:rPr>
                <w:rFonts w:hint="default" w:ascii="宋体" w:hAnsi="宋体" w:eastAsia="宋体" w:cs="宋体"/>
                <w:color w:val="auto"/>
                <w:sz w:val="21"/>
                <w:szCs w:val="21"/>
                <w:highlight w:val="none"/>
                <w:lang w:val="en-US" w:eastAsia="zh-CN"/>
              </w:rPr>
            </w:pPr>
            <w:r>
              <w:rPr>
                <w:rFonts w:hint="eastAsia" w:ascii="宋体" w:hAnsi="宋体" w:eastAsia="宋体" w:cs="Times New Roman"/>
                <w:color w:val="auto"/>
                <w:szCs w:val="21"/>
                <w:highlight w:val="none"/>
                <w:lang w:val="en-US" w:eastAsia="zh-CN"/>
              </w:rPr>
              <w:t>1年</w:t>
            </w:r>
          </w:p>
        </w:tc>
      </w:tr>
      <w:tr w14:paraId="32F8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noWrap w:val="0"/>
            <w:vAlign w:val="center"/>
          </w:tcPr>
          <w:p w14:paraId="7C559F58">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2423" w:type="dxa"/>
            <w:gridSpan w:val="2"/>
            <w:noWrap w:val="0"/>
            <w:vAlign w:val="center"/>
          </w:tcPr>
          <w:p w14:paraId="382FF166">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合同履约地点</w:t>
            </w:r>
          </w:p>
        </w:tc>
        <w:tc>
          <w:tcPr>
            <w:tcW w:w="5995" w:type="dxa"/>
            <w:noWrap w:val="0"/>
            <w:vAlign w:val="center"/>
          </w:tcPr>
          <w:p w14:paraId="04D024F9">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甲方指定地点</w:t>
            </w:r>
            <w:r>
              <w:rPr>
                <w:rFonts w:hint="eastAsia" w:ascii="宋体" w:hAnsi="宋体" w:eastAsia="宋体" w:cs="宋体"/>
                <w:color w:val="auto"/>
                <w:sz w:val="21"/>
                <w:szCs w:val="21"/>
                <w:highlight w:val="none"/>
                <w:lang w:eastAsia="zh-CN"/>
              </w:rPr>
              <w:t>。</w:t>
            </w:r>
          </w:p>
        </w:tc>
      </w:tr>
      <w:tr w14:paraId="5C63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5" w:type="dxa"/>
            <w:noWrap w:val="0"/>
            <w:vAlign w:val="center"/>
          </w:tcPr>
          <w:p w14:paraId="4CA678AD">
            <w:pPr>
              <w:keepNext w:val="0"/>
              <w:keepLines w:val="0"/>
              <w:pageBreakBefore w:val="0"/>
              <w:tabs>
                <w:tab w:val="left" w:pos="700"/>
              </w:tabs>
              <w:kinsoku/>
              <w:wordWrap/>
              <w:overflowPunct/>
              <w:bidi w:val="0"/>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2423" w:type="dxa"/>
            <w:gridSpan w:val="2"/>
            <w:noWrap w:val="0"/>
            <w:vAlign w:val="center"/>
          </w:tcPr>
          <w:p w14:paraId="18EE23A6">
            <w:pPr>
              <w:keepNext w:val="0"/>
              <w:keepLines w:val="0"/>
              <w:pageBreakBefore w:val="0"/>
              <w:tabs>
                <w:tab w:val="left" w:pos="700"/>
              </w:tabs>
              <w:kinsoku/>
              <w:wordWrap/>
              <w:overflowPunct/>
              <w:bidi w:val="0"/>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合同纠纷解决方式</w:t>
            </w:r>
          </w:p>
        </w:tc>
        <w:tc>
          <w:tcPr>
            <w:tcW w:w="5995" w:type="dxa"/>
            <w:noWrap w:val="0"/>
            <w:vAlign w:val="center"/>
          </w:tcPr>
          <w:p w14:paraId="1091022F">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甲乙双方应首先通过友好协商解决在执行本合同中所发生的或与本合同有关的一切争端。如从协商开始</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lang w:eastAsia="zh-CN"/>
              </w:rPr>
              <w:t>天内仍不能解决，可以选择以下途径之一解决纠纷：</w:t>
            </w:r>
          </w:p>
          <w:p w14:paraId="445E7422">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□向甲方所在地仲裁委员会或</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仲裁委员会申请仲裁</w:t>
            </w:r>
          </w:p>
          <w:p w14:paraId="4ABBDBED">
            <w:pPr>
              <w:keepNext w:val="0"/>
              <w:keepLines w:val="0"/>
              <w:pageBreakBefore w:val="0"/>
              <w:tabs>
                <w:tab w:val="left" w:pos="700"/>
              </w:tabs>
              <w:kinsoku/>
              <w:wordWrap/>
              <w:overflowPunct/>
              <w:bidi w:val="0"/>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☑向甲方所在地人民法院或</w:t>
            </w:r>
            <w:r>
              <w:rPr>
                <w:rFonts w:hint="eastAsia" w:ascii="宋体" w:hAnsi="宋体" w:cs="宋体"/>
                <w:color w:val="auto"/>
                <w:sz w:val="21"/>
                <w:szCs w:val="21"/>
                <w:highlight w:val="none"/>
                <w:u w:val="single"/>
                <w:lang w:val="en-US" w:eastAsia="zh-CN"/>
              </w:rPr>
              <w:t>项目所在地有管辖权的</w:t>
            </w:r>
            <w:r>
              <w:rPr>
                <w:rFonts w:hint="eastAsia" w:ascii="宋体" w:hAnsi="宋体" w:eastAsia="宋体" w:cs="宋体"/>
                <w:color w:val="auto"/>
                <w:sz w:val="21"/>
                <w:szCs w:val="21"/>
                <w:highlight w:val="none"/>
                <w:lang w:eastAsia="zh-CN"/>
              </w:rPr>
              <w:t>人民法院提起诉讼</w:t>
            </w:r>
          </w:p>
        </w:tc>
      </w:tr>
    </w:tbl>
    <w:p w14:paraId="08096AF5">
      <w:pPr>
        <w:tabs>
          <w:tab w:val="left" w:pos="700"/>
        </w:tabs>
        <w:topLinePunct/>
        <w:autoSpaceDE w:val="0"/>
        <w:autoSpaceDN w:val="0"/>
        <w:spacing w:line="460" w:lineRule="exact"/>
        <w:rPr>
          <w:rFonts w:hint="eastAsia" w:ascii="宋体" w:hAnsi="宋体" w:cs="宋体"/>
          <w:b/>
          <w:color w:val="auto"/>
          <w:sz w:val="24"/>
          <w:highlight w:val="none"/>
        </w:rPr>
      </w:pPr>
      <w:r>
        <w:rPr>
          <w:rFonts w:hint="eastAsia" w:ascii="宋体" w:hAnsi="宋体" w:cs="宋体"/>
          <w:b/>
          <w:color w:val="auto"/>
          <w:sz w:val="28"/>
          <w:highlight w:val="none"/>
        </w:rPr>
        <w:br w:type="page"/>
      </w:r>
    </w:p>
    <w:p w14:paraId="1DDBA46F">
      <w:pPr>
        <w:keepNext w:val="0"/>
        <w:keepLines w:val="0"/>
        <w:pageBreakBefore w:val="0"/>
        <w:widowControl w:val="0"/>
        <w:tabs>
          <w:tab w:val="left" w:pos="0"/>
        </w:tabs>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hint="eastAsia" w:ascii="宋体" w:hAnsi="宋体" w:cs="宋体"/>
          <w:b/>
          <w:color w:val="auto"/>
          <w:sz w:val="24"/>
          <w:highlight w:val="none"/>
        </w:rPr>
        <w:t xml:space="preserve">一   合  同 </w:t>
      </w:r>
    </w:p>
    <w:p w14:paraId="207F7F53">
      <w:pPr>
        <w:tabs>
          <w:tab w:val="left" w:pos="540"/>
        </w:tabs>
        <w:topLinePunct/>
        <w:autoSpaceDE w:val="0"/>
        <w:autoSpaceDN w:val="0"/>
        <w:spacing w:line="460" w:lineRule="exact"/>
        <w:rPr>
          <w:rFonts w:hint="eastAsia" w:ascii="宋体" w:hAnsi="宋体" w:cs="宋体"/>
          <w:b/>
          <w:color w:val="auto"/>
          <w:sz w:val="24"/>
          <w:highlight w:val="none"/>
        </w:rPr>
      </w:pPr>
    </w:p>
    <w:p w14:paraId="2E9B1AFB">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国家税务总局钦州市钦南区税务局</w:t>
      </w:r>
      <w:r>
        <w:rPr>
          <w:rFonts w:hint="default" w:ascii="Times New Roman" w:hAnsi="Times New Roman" w:cs="Times New Roman"/>
          <w:color w:val="auto"/>
          <w:sz w:val="21"/>
          <w:szCs w:val="21"/>
          <w:highlight w:val="none"/>
        </w:rPr>
        <w:t>（以下简称“甲方”）通过</w:t>
      </w:r>
      <w:r>
        <w:rPr>
          <w:rFonts w:hint="eastAsia" w:ascii="Times New Roman" w:hAnsi="Times New Roman" w:cs="Times New Roman"/>
          <w:color w:val="auto"/>
          <w:sz w:val="21"/>
          <w:szCs w:val="21"/>
          <w:highlight w:val="none"/>
          <w:u w:val="single"/>
          <w:lang w:val="en-US" w:eastAsia="zh-CN"/>
        </w:rPr>
        <w:t>磋商</w:t>
      </w:r>
      <w:r>
        <w:rPr>
          <w:rFonts w:hint="eastAsia"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none"/>
          <w:lang w:val="en-US" w:eastAsia="zh-CN"/>
        </w:rPr>
        <w:t>式</w:t>
      </w:r>
      <w:r>
        <w:rPr>
          <w:rFonts w:hint="default" w:ascii="Times New Roman" w:hAnsi="Times New Roman" w:cs="Times New Roman"/>
          <w:color w:val="auto"/>
          <w:sz w:val="21"/>
          <w:szCs w:val="21"/>
          <w:highlight w:val="none"/>
        </w:rPr>
        <w:t>采购</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确定_____公司（以下简称“乙方”）为《</w:t>
      </w:r>
      <w:r>
        <w:rPr>
          <w:rFonts w:hint="eastAsia" w:ascii="宋体" w:hAnsi="宋体" w:cs="宋体"/>
          <w:color w:val="auto"/>
          <w:sz w:val="21"/>
          <w:szCs w:val="21"/>
          <w:highlight w:val="none"/>
          <w:lang w:val="en-US" w:eastAsia="zh-CN"/>
        </w:rPr>
        <w:t>国家税务总局钦州市钦南区税务局食堂食材配送项目</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成交</w:t>
      </w:r>
      <w:r>
        <w:rPr>
          <w:rFonts w:hint="default" w:ascii="Times New Roman" w:hAnsi="Times New Roman" w:cs="Times New Roman"/>
          <w:color w:val="auto"/>
          <w:sz w:val="21"/>
          <w:szCs w:val="21"/>
          <w:highlight w:val="none"/>
          <w:lang w:eastAsia="zh-CN"/>
        </w:rPr>
        <w:t>供应商</w:t>
      </w:r>
      <w:r>
        <w:rPr>
          <w:rFonts w:hint="default" w:ascii="Times New Roman" w:hAnsi="Times New Roman" w:cs="Times New Roman"/>
          <w:color w:val="auto"/>
          <w:sz w:val="21"/>
          <w:szCs w:val="21"/>
          <w:highlight w:val="none"/>
        </w:rPr>
        <w:t>。甲乙双方同意按照该项目</w:t>
      </w:r>
      <w:r>
        <w:rPr>
          <w:rFonts w:hint="default" w:ascii="Times New Roman" w:hAnsi="Times New Roman" w:cs="Times New Roman"/>
          <w:color w:val="auto"/>
          <w:sz w:val="21"/>
          <w:szCs w:val="21"/>
          <w:highlight w:val="none"/>
          <w:lang w:eastAsia="zh-CN"/>
        </w:rPr>
        <w:t>招标文件</w:t>
      </w:r>
      <w:r>
        <w:rPr>
          <w:rFonts w:hint="default" w:ascii="Times New Roman" w:hAnsi="Times New Roman" w:cs="Times New Roman"/>
          <w:color w:val="auto"/>
          <w:sz w:val="21"/>
          <w:szCs w:val="21"/>
          <w:highlight w:val="none"/>
        </w:rPr>
        <w:t>约定的内容，签署《</w:t>
      </w:r>
      <w:r>
        <w:rPr>
          <w:rFonts w:hint="eastAsia" w:ascii="宋体" w:hAnsi="宋体" w:cs="宋体"/>
          <w:color w:val="auto"/>
          <w:sz w:val="21"/>
          <w:szCs w:val="21"/>
          <w:highlight w:val="none"/>
          <w:lang w:val="en-US" w:eastAsia="zh-CN"/>
        </w:rPr>
        <w:t>国家税务总局钦州市钦南区税务局食堂食材配送项目</w:t>
      </w:r>
      <w:r>
        <w:rPr>
          <w:rFonts w:hint="default" w:ascii="Times New Roman" w:hAnsi="Times New Roman" w:cs="Times New Roman"/>
          <w:color w:val="auto"/>
          <w:sz w:val="21"/>
          <w:szCs w:val="21"/>
          <w:highlight w:val="none"/>
        </w:rPr>
        <w:t>合同书》（合同编号：</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，以下简称“合同”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w:t>
      </w:r>
    </w:p>
    <w:p w14:paraId="2B316831">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合同文件</w:t>
      </w:r>
    </w:p>
    <w:p w14:paraId="192FD4CE">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本合同所附下列文件是构成本合同不可分割的部分：</w:t>
      </w:r>
    </w:p>
    <w:p w14:paraId="5A7CF59D">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（1）合同通用条款；</w:t>
      </w:r>
    </w:p>
    <w:p w14:paraId="3FC202F3">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r>
        <w:rPr>
          <w:rFonts w:hint="eastAsia" w:ascii="Times New Roman" w:hAnsi="Times New Roman" w:cs="Times New Roman"/>
          <w:color w:val="auto"/>
          <w:sz w:val="21"/>
          <w:szCs w:val="21"/>
          <w:highlight w:val="none"/>
          <w:lang w:eastAsia="zh-CN"/>
        </w:rPr>
        <w:t>最后</w:t>
      </w:r>
      <w:r>
        <w:rPr>
          <w:rFonts w:hint="default" w:ascii="Times New Roman" w:hAnsi="Times New Roman" w:cs="Times New Roman"/>
          <w:color w:val="auto"/>
          <w:sz w:val="21"/>
          <w:szCs w:val="21"/>
          <w:highlight w:val="none"/>
        </w:rPr>
        <w:t>报价表；</w:t>
      </w:r>
    </w:p>
    <w:p w14:paraId="613CB898">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eastAsia="zh-CN"/>
        </w:rPr>
        <w:t>磋商</w:t>
      </w:r>
      <w:r>
        <w:rPr>
          <w:rFonts w:hint="default" w:ascii="Times New Roman" w:hAnsi="Times New Roman" w:cs="Times New Roman"/>
          <w:color w:val="auto"/>
          <w:sz w:val="21"/>
          <w:szCs w:val="21"/>
          <w:highlight w:val="none"/>
          <w:lang w:eastAsia="zh-CN"/>
        </w:rPr>
        <w:t>文件；</w:t>
      </w:r>
    </w:p>
    <w:p w14:paraId="6BD75A90">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响应</w:t>
      </w:r>
      <w:r>
        <w:rPr>
          <w:rFonts w:hint="default" w:ascii="Times New Roman" w:hAnsi="Times New Roman" w:cs="Times New Roman"/>
          <w:color w:val="auto"/>
          <w:sz w:val="21"/>
          <w:szCs w:val="21"/>
          <w:highlight w:val="none"/>
        </w:rPr>
        <w:t>文件。</w:t>
      </w:r>
    </w:p>
    <w:p w14:paraId="43394EBE">
      <w:pPr>
        <w:keepNext w:val="0"/>
        <w:keepLines w:val="0"/>
        <w:pageBreakBefore w:val="0"/>
        <w:widowControl w:val="0"/>
        <w:kinsoku/>
        <w:wordWrap/>
        <w:overflowPunct/>
        <w:topLinePunct/>
        <w:autoSpaceDE w:val="0"/>
        <w:autoSpaceDN w:val="0"/>
        <w:bidi w:val="0"/>
        <w:snapToGrid w:val="0"/>
        <w:spacing w:line="360" w:lineRule="auto"/>
        <w:ind w:left="482"/>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2. 合同范围和条件</w:t>
      </w:r>
    </w:p>
    <w:p w14:paraId="6362D184">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本合同的范围和条件应与上述合同文件的规定相一致。</w:t>
      </w:r>
    </w:p>
    <w:p w14:paraId="575F4552">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13" w:firstLineChars="196"/>
        <w:rPr>
          <w:rFonts w:hint="eastAsia" w:ascii="Times New Roman" w:hAnsi="Times New Roman" w:eastAsia="宋体" w:cs="Times New Roman"/>
          <w:b/>
          <w:color w:val="auto"/>
          <w:sz w:val="21"/>
          <w:szCs w:val="21"/>
          <w:highlight w:val="none"/>
          <w:lang w:eastAsia="zh-CN"/>
        </w:rPr>
      </w:pPr>
      <w:r>
        <w:rPr>
          <w:rFonts w:hint="default" w:ascii="Times New Roman" w:hAnsi="Times New Roman" w:cs="Times New Roman"/>
          <w:b/>
          <w:color w:val="auto"/>
          <w:sz w:val="21"/>
          <w:szCs w:val="21"/>
          <w:highlight w:val="none"/>
        </w:rPr>
        <w:t xml:space="preserve">3. </w:t>
      </w:r>
      <w:r>
        <w:rPr>
          <w:rFonts w:hint="eastAsia" w:ascii="Times New Roman" w:hAnsi="Times New Roman" w:cs="Times New Roman"/>
          <w:b/>
          <w:color w:val="auto"/>
          <w:sz w:val="21"/>
          <w:szCs w:val="21"/>
          <w:highlight w:val="none"/>
          <w:lang w:eastAsia="zh-CN"/>
        </w:rPr>
        <w:t>成交下浮系数</w:t>
      </w:r>
    </w:p>
    <w:p w14:paraId="6B4729E6">
      <w:pPr>
        <w:keepNext w:val="0"/>
        <w:keepLines w:val="0"/>
        <w:pageBreakBefore w:val="0"/>
        <w:widowControl w:val="0"/>
        <w:tabs>
          <w:tab w:val="left" w:pos="700"/>
        </w:tabs>
        <w:kinsoku/>
        <w:wordWrap/>
        <w:overflowPunct/>
        <w:topLinePunct/>
        <w:autoSpaceDE w:val="0"/>
        <w:autoSpaceDN w:val="0"/>
        <w:bidi w:val="0"/>
        <w:snapToGrid w:val="0"/>
        <w:spacing w:line="360" w:lineRule="auto"/>
        <w:ind w:firstLine="420" w:firstLineChars="200"/>
        <w:rPr>
          <w:rFonts w:hint="default" w:ascii="Times New Roman" w:hAnsi="Times New Roman" w:cs="Times New Roman"/>
          <w:color w:val="auto"/>
          <w:sz w:val="21"/>
          <w:szCs w:val="21"/>
          <w:highlight w:val="none"/>
        </w:rPr>
      </w:pPr>
      <w:r>
        <w:rPr>
          <w:rFonts w:hint="eastAsia" w:ascii="宋体" w:hAnsi="宋体" w:cs="宋体"/>
          <w:color w:val="auto"/>
          <w:szCs w:val="21"/>
          <w:highlight w:val="none"/>
          <w:lang w:eastAsia="zh-CN"/>
        </w:rPr>
        <w:t>成交下浮系数：</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144B199D">
      <w:pPr>
        <w:keepNext w:val="0"/>
        <w:keepLines w:val="0"/>
        <w:pageBreakBefore w:val="0"/>
        <w:widowControl w:val="0"/>
        <w:numPr>
          <w:ilvl w:val="0"/>
          <w:numId w:val="0"/>
        </w:numPr>
        <w:tabs>
          <w:tab w:val="left" w:pos="700"/>
        </w:tabs>
        <w:kinsoku/>
        <w:wordWrap/>
        <w:overflowPunct/>
        <w:topLinePunct/>
        <w:autoSpaceDE w:val="0"/>
        <w:autoSpaceDN w:val="0"/>
        <w:bidi w:val="0"/>
        <w:snapToGrid w:val="0"/>
        <w:spacing w:line="360" w:lineRule="auto"/>
        <w:ind w:firstLine="422" w:firstLineChars="20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lang w:val="en"/>
        </w:rPr>
        <w:t>4.</w:t>
      </w:r>
      <w:r>
        <w:rPr>
          <w:rFonts w:hint="default" w:ascii="Times New Roman" w:hAnsi="Times New Roman" w:cs="Times New Roman"/>
          <w:b/>
          <w:color w:val="auto"/>
          <w:sz w:val="21"/>
          <w:szCs w:val="21"/>
          <w:highlight w:val="none"/>
        </w:rPr>
        <w:t>付款条件</w:t>
      </w:r>
    </w:p>
    <w:p w14:paraId="10900658">
      <w:pPr>
        <w:pStyle w:val="25"/>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本项目采用先供货后对账再结算方式，无预付款。乙方须每月15日将上个月配送清单及汇总表交甲方审核确认，乙方按审核确认后的结算金额开具等额发票给甲方，甲方据双方核定的金额每个月结算一次货款。甲方收到发票及相关票据后7个工作日内，以银行转账方式向成交乙方支付货款。乙方须按时足额提供发票及相关票据，否则甲方有权拒绝付款而不构成违约。</w:t>
      </w:r>
    </w:p>
    <w:p w14:paraId="7FF913AD">
      <w:pPr>
        <w:pStyle w:val="25"/>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、物品供应价格：由乙方每半个月进行一次市场调查，形成市场价格目录表提供给甲方，甲方根据其提供的市场价格目录表进行市场核价，双方按核查后的市场价格作为此期间的供应价格。本项目市场调查地点为</w:t>
      </w:r>
      <w:r>
        <w:rPr>
          <w:rFonts w:hint="eastAsia" w:ascii="宋体" w:hAnsi="宋体" w:eastAsia="宋体" w:cs="宋体"/>
          <w:color w:val="auto"/>
          <w:sz w:val="21"/>
          <w:szCs w:val="21"/>
          <w:highlight w:val="none"/>
          <w:lang w:val="en-US" w:eastAsia="zh-CN"/>
        </w:rPr>
        <w:t>钦州市商业大厦和东风市场</w:t>
      </w:r>
      <w:r>
        <w:rPr>
          <w:rFonts w:hint="default" w:ascii="宋体" w:hAnsi="宋体" w:eastAsia="宋体" w:cs="宋体"/>
          <w:color w:val="auto"/>
          <w:sz w:val="21"/>
          <w:szCs w:val="21"/>
          <w:highlight w:val="none"/>
          <w:lang w:val="en-US" w:eastAsia="zh-CN"/>
        </w:rPr>
        <w:t>。</w:t>
      </w:r>
    </w:p>
    <w:p w14:paraId="1183B3F8">
      <w:pPr>
        <w:pStyle w:val="25"/>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结算金额=供应价格×数量×（1-成交下浮系数）。在合同期内，乙方的下浮比例（%）不得以市场价格波动等情况进行调整，乙方应承担由此带来的相应风险。结算方式为月结（如当月有考核有扣款情形的，则在结算时还应扣除相应的扣款金额）</w:t>
      </w:r>
    </w:p>
    <w:p w14:paraId="363E201B">
      <w:pPr>
        <w:pStyle w:val="25"/>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2" w:firstLineChars="200"/>
        <w:jc w:val="both"/>
        <w:textAlignment w:val="baseline"/>
        <w:rPr>
          <w:rFonts w:hint="default" w:ascii="宋体" w:hAnsi="宋体" w:eastAsia="宋体" w:cs="宋体"/>
          <w:b/>
          <w:bCs/>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5. 合同签订及生效</w:t>
      </w:r>
    </w:p>
    <w:p w14:paraId="7CBD5B7D">
      <w:pPr>
        <w:pStyle w:val="25"/>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本合同一式</w:t>
      </w:r>
      <w:r>
        <w:rPr>
          <w:rFonts w:hint="eastAsia" w:ascii="宋体" w:hAnsi="宋体" w:eastAsia="宋体" w:cs="宋体"/>
          <w:color w:val="auto"/>
          <w:sz w:val="21"/>
          <w:szCs w:val="21"/>
          <w:highlight w:val="none"/>
          <w:u w:val="single"/>
          <w:lang w:val="en" w:eastAsia="zh-CN"/>
        </w:rPr>
        <w:t>七</w:t>
      </w:r>
      <w:r>
        <w:rPr>
          <w:rFonts w:hint="default" w:ascii="宋体" w:hAnsi="宋体" w:eastAsia="宋体" w:cs="宋体"/>
          <w:color w:val="auto"/>
          <w:sz w:val="21"/>
          <w:szCs w:val="21"/>
          <w:highlight w:val="none"/>
          <w:lang w:val="en-US" w:eastAsia="zh-CN"/>
        </w:rPr>
        <w:t>份，由甲乙双方法定代表人或被授权人签字并盖章后生效。</w:t>
      </w:r>
    </w:p>
    <w:p w14:paraId="193A4E3C">
      <w:pPr>
        <w:pStyle w:val="25"/>
        <w:keepNext w:val="0"/>
        <w:keepLines w:val="0"/>
        <w:pageBreakBefore w:val="0"/>
        <w:widowControl w:val="0"/>
        <w:numPr>
          <w:ilvl w:val="0"/>
          <w:numId w:val="0"/>
        </w:numPr>
        <w:tabs>
          <w:tab w:val="left" w:pos="840"/>
        </w:tabs>
        <w:kinsoku/>
        <w:wordWrap/>
        <w:overflowPunct/>
        <w:topLinePunct w:val="0"/>
        <w:autoSpaceDE/>
        <w:autoSpaceDN/>
        <w:bidi w:val="0"/>
        <w:adjustRightInd w:val="0"/>
        <w:snapToGrid w:val="0"/>
        <w:spacing w:line="360" w:lineRule="auto"/>
        <w:ind w:firstLine="420" w:firstLineChars="200"/>
        <w:jc w:val="both"/>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乙方由法定代表人签订合同的，应提供法定代表人身份证复印件；乙方由被授权人签订合同的，应提供授权委托书和法定代表人及被授权人身份证复印件。</w:t>
      </w:r>
    </w:p>
    <w:p w14:paraId="24203807">
      <w:pPr>
        <w:pStyle w:val="25"/>
        <w:keepNext w:val="0"/>
        <w:keepLines w:val="0"/>
        <w:pageBreakBefore w:val="0"/>
        <w:widowControl w:val="0"/>
        <w:numPr>
          <w:ilvl w:val="0"/>
          <w:numId w:val="0"/>
        </w:numPr>
        <w:tabs>
          <w:tab w:val="left" w:pos="840"/>
        </w:tabs>
        <w:kinsoku/>
        <w:wordWrap/>
        <w:overflowPunct/>
        <w:bidi w:val="0"/>
        <w:snapToGrid w:val="0"/>
        <w:spacing w:line="360" w:lineRule="auto"/>
        <w:ind w:firstLine="420" w:firstLineChars="200"/>
        <w:rPr>
          <w:rFonts w:hint="default" w:ascii="Times New Roman" w:hAnsi="Times New Roman" w:cs="Times New Roman"/>
          <w:color w:val="auto"/>
          <w:sz w:val="21"/>
          <w:szCs w:val="21"/>
          <w:highlight w:val="none"/>
        </w:rPr>
      </w:pPr>
    </w:p>
    <w:p w14:paraId="24FCB1D5">
      <w:pPr>
        <w:keepNext w:val="0"/>
        <w:keepLines w:val="0"/>
        <w:pageBreakBefore w:val="0"/>
        <w:widowControl w:val="0"/>
        <w:tabs>
          <w:tab w:val="left" w:pos="700"/>
        </w:tabs>
        <w:kinsoku/>
        <w:wordWrap/>
        <w:overflowPunct/>
        <w:topLinePunct/>
        <w:autoSpaceDE w:val="0"/>
        <w:autoSpaceDN w:val="0"/>
        <w:bidi w:val="0"/>
        <w:spacing w:line="360" w:lineRule="auto"/>
        <w:rPr>
          <w:rFonts w:hint="default" w:ascii="Times New Roman" w:hAnsi="Times New Roman" w:cs="Times New Roman"/>
          <w:color w:val="auto"/>
          <w:sz w:val="21"/>
          <w:szCs w:val="21"/>
          <w:highlight w:val="none"/>
        </w:rPr>
      </w:pPr>
    </w:p>
    <w:p w14:paraId="2C80086E">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r>
        <w:rPr>
          <w:rFonts w:hint="default" w:ascii="Times New Roman" w:hAnsi="Times New Roman" w:cs="Times New Roman"/>
          <w:color w:val="auto"/>
          <w:sz w:val="21"/>
          <w:szCs w:val="21"/>
          <w:highlight w:val="none"/>
          <w:lang w:eastAsia="zh-CN"/>
        </w:rPr>
        <w:t>国家税务总局钦州市钦南区税务局</w:t>
      </w:r>
      <w:r>
        <w:rPr>
          <w:rFonts w:hint="default" w:ascii="Times New Roman" w:hAnsi="Times New Roman" w:cs="Times New Roman"/>
          <w:color w:val="auto"/>
          <w:sz w:val="21"/>
          <w:szCs w:val="21"/>
          <w:highlight w:val="none"/>
        </w:rPr>
        <w:t xml:space="preserve">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乙方：</w:t>
      </w:r>
    </w:p>
    <w:p w14:paraId="122E7B9A">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签字：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签字：</w:t>
      </w:r>
    </w:p>
    <w:p w14:paraId="3A9FBFE1">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盖章：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盖章： </w:t>
      </w:r>
    </w:p>
    <w:p w14:paraId="1BFBA487">
      <w:pPr>
        <w:keepNext w:val="0"/>
        <w:keepLines w:val="0"/>
        <w:pageBreakBefore w:val="0"/>
        <w:widowControl w:val="0"/>
        <w:tabs>
          <w:tab w:val="left" w:pos="700"/>
        </w:tabs>
        <w:kinsoku/>
        <w:wordWrap/>
        <w:overflowPunct/>
        <w:topLinePunct/>
        <w:autoSpaceDE w:val="0"/>
        <w:autoSpaceDN w:val="0"/>
        <w:bidi w:val="0"/>
        <w:spacing w:line="360" w:lineRule="auto"/>
        <w:ind w:left="36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日期：    年    月    日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日期：     年   月   日</w:t>
      </w:r>
    </w:p>
    <w:p w14:paraId="7E030331">
      <w:pPr>
        <w:keepNext w:val="0"/>
        <w:keepLines w:val="0"/>
        <w:pageBreakBefore w:val="0"/>
        <w:widowControl w:val="0"/>
        <w:kinsoku/>
        <w:wordWrap/>
        <w:overflowPunct/>
        <w:topLinePunct/>
        <w:autoSpaceDE w:val="0"/>
        <w:autoSpaceDN w:val="0"/>
        <w:bidi w:val="0"/>
        <w:spacing w:line="360" w:lineRule="auto"/>
        <w:rPr>
          <w:rFonts w:hint="default" w:ascii="Times New Roman" w:hAnsi="Times New Roman" w:cs="Times New Roman"/>
          <w:b/>
          <w:color w:val="auto"/>
          <w:sz w:val="21"/>
          <w:szCs w:val="21"/>
          <w:highlight w:val="none"/>
        </w:rPr>
      </w:pPr>
    </w:p>
    <w:p w14:paraId="4DD96F66">
      <w:pPr>
        <w:topLinePunct/>
        <w:autoSpaceDE w:val="0"/>
        <w:autoSpaceDN w:val="0"/>
        <w:spacing w:line="360" w:lineRule="auto"/>
        <w:jc w:val="center"/>
        <w:rPr>
          <w:rFonts w:hint="eastAsia" w:ascii="宋体" w:hAnsi="宋体" w:eastAsia="宋体" w:cs="宋体"/>
          <w:b/>
          <w:color w:val="auto"/>
          <w:sz w:val="24"/>
          <w:highlight w:val="none"/>
          <w:lang w:eastAsia="zh-CN"/>
        </w:rPr>
      </w:pPr>
    </w:p>
    <w:p w14:paraId="00DE2A6A">
      <w:pPr>
        <w:topLinePunct/>
        <w:autoSpaceDE w:val="0"/>
        <w:autoSpaceDN w:val="0"/>
        <w:spacing w:line="360" w:lineRule="auto"/>
        <w:jc w:val="center"/>
        <w:rPr>
          <w:rFonts w:hint="eastAsia" w:ascii="宋体" w:hAnsi="宋体" w:eastAsia="宋体" w:cs="宋体"/>
          <w:b/>
          <w:color w:val="auto"/>
          <w:sz w:val="24"/>
          <w:highlight w:val="none"/>
          <w:lang w:eastAsia="zh-CN"/>
        </w:rPr>
      </w:pPr>
    </w:p>
    <w:p w14:paraId="6AA0C761">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二   合 同 通 用 条 款</w:t>
      </w:r>
    </w:p>
    <w:p w14:paraId="04A3C784">
      <w:pPr>
        <w:keepNext w:val="0"/>
        <w:keepLines w:val="0"/>
        <w:pageBreakBefore w:val="0"/>
        <w:widowControl w:val="0"/>
        <w:kinsoku/>
        <w:wordWrap/>
        <w:overflowPunct/>
        <w:topLinePunct/>
        <w:autoSpaceDE w:val="0"/>
        <w:autoSpaceDN w:val="0"/>
        <w:bidi w:val="0"/>
        <w:adjustRightInd/>
        <w:snapToGrid/>
        <w:spacing w:line="360" w:lineRule="auto"/>
        <w:ind w:firstLine="422" w:firstLineChars="200"/>
        <w:textAlignment w:val="auto"/>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1. 定义</w:t>
      </w:r>
    </w:p>
    <w:p w14:paraId="59E8FBED">
      <w:pPr>
        <w:keepNext w:val="0"/>
        <w:keepLines w:val="0"/>
        <w:pageBreakBefore w:val="0"/>
        <w:widowControl w:val="0"/>
        <w:kinsoku/>
        <w:wordWrap/>
        <w:overflowPunct/>
        <w:topLinePunct/>
        <w:autoSpaceDE w:val="0"/>
        <w:autoSpaceDN w:val="0"/>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本合同下列术语应解释为：</w:t>
      </w:r>
    </w:p>
    <w:p w14:paraId="7BBAB2E8">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1.1“甲方”是指</w:t>
      </w:r>
      <w:r>
        <w:rPr>
          <w:rFonts w:hint="eastAsia" w:ascii="Times New Roman" w:hAnsi="Times New Roman" w:cs="Times New Roman"/>
          <w:color w:val="auto"/>
          <w:sz w:val="21"/>
          <w:szCs w:val="21"/>
          <w:highlight w:val="none"/>
          <w:lang w:eastAsia="zh-CN"/>
        </w:rPr>
        <w:t>国家税务总局钦州市钦南区税务局</w:t>
      </w:r>
      <w:r>
        <w:rPr>
          <w:rFonts w:hint="default" w:ascii="Times New Roman" w:hAnsi="Times New Roman" w:cs="Times New Roman"/>
          <w:color w:val="auto"/>
          <w:sz w:val="21"/>
          <w:szCs w:val="21"/>
          <w:highlight w:val="none"/>
        </w:rPr>
        <w:t>。</w:t>
      </w:r>
    </w:p>
    <w:p w14:paraId="7CCC19D0">
      <w:pPr>
        <w:keepNext w:val="0"/>
        <w:keepLines w:val="0"/>
        <w:pageBreakBefore w:val="0"/>
        <w:widowControl w:val="0"/>
        <w:tabs>
          <w:tab w:val="left" w:pos="700"/>
        </w:tabs>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1.1.1“甲方采购部门”见“合同条款前附表”第</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项“甲方采购部门”。</w:t>
      </w:r>
    </w:p>
    <w:p w14:paraId="64FC9EFA">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1.1.1“甲方采购部门”见“合同条款前附表”第5项“甲方采购部门”。</w:t>
      </w:r>
    </w:p>
    <w:p w14:paraId="49FE4BC2">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1.1.2“甲方需求部门”见“合同条款前附表”第5项“甲方需求部门”。</w:t>
      </w:r>
    </w:p>
    <w:p w14:paraId="310FA7F7">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1.2“乙方”见“合同条款前附表”第6项“乙方名称”。</w:t>
      </w:r>
    </w:p>
    <w:p w14:paraId="3E07867B">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1.3 “合同”系指甲乙双方签订的、合同格式中载明的甲乙双方所达成的协议，包括所有的附件、附录和上述文件所提到的构成合同的所有文件。</w:t>
      </w:r>
    </w:p>
    <w:p w14:paraId="09BA5BB2">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1.4 “天”除非特别指出，“天”均为自然天。</w:t>
      </w:r>
    </w:p>
    <w:p w14:paraId="0B953CD6">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 标准</w:t>
      </w:r>
    </w:p>
    <w:p w14:paraId="6B060FCA">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2.1乙方为甲方交付的货物及服务应符合招标文件所述的内容，如果没有提及适用标准，则应符合相应的国家标准。这些标准必须是有关机构发布的最新版本的标准。</w:t>
      </w:r>
    </w:p>
    <w:p w14:paraId="34A2F2B8">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2.2除非技术要求中另有规定，计量单位均采用中华人民共和国法定计量单位。</w:t>
      </w:r>
    </w:p>
    <w:p w14:paraId="6647F679">
      <w:pPr>
        <w:tabs>
          <w:tab w:val="left" w:pos="700"/>
        </w:tabs>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2.3货物还应符合国家有关安全、环保、卫生的相关规定。</w:t>
      </w:r>
    </w:p>
    <w:p w14:paraId="7779DF70">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 质量保证和包装要求</w:t>
      </w:r>
    </w:p>
    <w:p w14:paraId="666A3480">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3.1乙方应保证所供货物是全新的、未使用过的，并完全符合或高于合同要求的质量、规格和技术性能的要求。</w:t>
      </w:r>
    </w:p>
    <w:p w14:paraId="179376A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3.2乙方应保证其货物在正确安装、正常使用和保养条件下，在其使用寿命期内具有满意的性能，或者没有因乙方的行为或疏忽而产生的缺陷。在货物最终交付验收后不少于合同规定或乙方承诺(两者以较长的为准)的质量保证期内，本保证保持有效。</w:t>
      </w:r>
    </w:p>
    <w:p w14:paraId="2AC71E9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3.3本合同涉及货物的包装应符合《商品包装政府采购需求标准（试行）》（财办库〔2020〕123 号）要求。除合同另有规定外，乙方提供的全部货物均应按标准保护措施进行包装，这类包装应适应于远距离运输、防潮、防震、防锈和防野蛮装卸，以确保货物安全无损运抵指定现场。</w:t>
      </w:r>
    </w:p>
    <w:p w14:paraId="794BB71E">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3.4乙方应承担由于其包装或防护措施不当而引起的货物损坏和丢失的任何损失责任和费用。</w:t>
      </w:r>
    </w:p>
    <w:p w14:paraId="72DCB43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3.5如果货物质量或规格与合同不符或不符合甲方要求，或证实货物是有缺陷的，包括潜在的缺陷或使用不符合要求的材料等，由此引起的全部费用由乙方承担。若以上原因导致或引起甲方损失及导致或引起第三方受到损害的，全部赔偿责任均应由乙方承担。</w:t>
      </w:r>
    </w:p>
    <w:p w14:paraId="63D1FAED">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cs="Times New Roman"/>
          <w:color w:val="auto"/>
          <w:szCs w:val="21"/>
          <w:highlight w:val="none"/>
          <w:lang w:val="en-US" w:eastAsia="zh-CN"/>
        </w:rPr>
        <w:t>6</w:t>
      </w:r>
      <w:r>
        <w:rPr>
          <w:rFonts w:ascii="Times New Roman" w:hAnsi="Times New Roman" w:eastAsia="宋体" w:cs="Times New Roman"/>
          <w:color w:val="auto"/>
          <w:szCs w:val="21"/>
          <w:highlight w:val="none"/>
        </w:rPr>
        <w:t>在质量保证期内所发现的缺陷，甲方应尽快以书面形式通知乙方。</w:t>
      </w:r>
    </w:p>
    <w:p w14:paraId="4A686EF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eastAsia" w:ascii="Times New Roman" w:hAnsi="Times New Roman" w:cs="Times New Roman"/>
          <w:color w:val="auto"/>
          <w:szCs w:val="21"/>
          <w:highlight w:val="none"/>
          <w:lang w:val="en-US" w:eastAsia="zh-CN"/>
        </w:rPr>
        <w:t>7</w:t>
      </w:r>
      <w:r>
        <w:rPr>
          <w:rFonts w:ascii="Times New Roman" w:hAnsi="Times New Roman" w:eastAsia="宋体" w:cs="Times New Roman"/>
          <w:color w:val="auto"/>
          <w:szCs w:val="21"/>
          <w:highlight w:val="none"/>
        </w:rPr>
        <w:t>乙方收到通知后应在本合同规定的响应时间内以合理的速度免费更换有缺陷的货物。</w:t>
      </w:r>
    </w:p>
    <w:p w14:paraId="705CA92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3.9乙方在约定的时间内未能弥补缺陷，甲方可采取必要的补救措施，但其风险和费用将由乙方承担，甲方根据合同规定对乙方行使的其他权利不受影响。</w:t>
      </w:r>
    </w:p>
    <w:p w14:paraId="79246776">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3.10本合同的质量保证期见合同条款前附表“12.质量保证期”。</w:t>
      </w:r>
    </w:p>
    <w:p w14:paraId="0E8AF6F2">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3.11乙方保证对其出售的货物享有合法的权利。</w:t>
      </w:r>
    </w:p>
    <w:p w14:paraId="196E7F8C">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3.12乙方保证在其出售的货物上不存在任何未曾向甲方透露的担保物权，如抵押权、质押权、留置权等。</w:t>
      </w:r>
    </w:p>
    <w:p w14:paraId="07478C4C">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3.13如甲方使用该货物构成上述侵权的，则由乙方承担全部责任。</w:t>
      </w:r>
    </w:p>
    <w:p w14:paraId="68EA3CBE">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4.  保密条款</w:t>
      </w:r>
    </w:p>
    <w:p w14:paraId="5DB08812">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4</w:t>
      </w:r>
      <w:r>
        <w:rPr>
          <w:rFonts w:ascii="Times New Roman" w:hAnsi="Times New Roman" w:eastAsia="宋体" w:cs="Times New Roman"/>
          <w:color w:val="auto"/>
          <w:szCs w:val="21"/>
          <w:highlight w:val="none"/>
        </w:rPr>
        <w:t>.1 甲乙双方应对在本合同签订或履行过程中所接触的对方信息，包括但不限于知识产权、技术资料、技术诀窍、内部管理及其他相关信息，负有保密义务。</w:t>
      </w:r>
    </w:p>
    <w:p w14:paraId="297638BB">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4</w:t>
      </w:r>
      <w:r>
        <w:rPr>
          <w:rFonts w:ascii="Times New Roman" w:hAnsi="Times New Roman" w:eastAsia="宋体" w:cs="Times New Roman"/>
          <w:color w:val="auto"/>
          <w:szCs w:val="21"/>
          <w:highlight w:val="none"/>
        </w:rPr>
        <w:t>.2 乙方在使用甲方为乙方及其工作人员提供的数据、程序、用户名、口令、资料及甲方相关的业务和技术文档，包括税收政策以及相关业务系统的软硬件、文档</w:t>
      </w:r>
      <w:r>
        <w:rPr>
          <w:rFonts w:hint="eastAsia" w:ascii="Times New Roman" w:hAnsi="Times New Roman" w:cs="Times New Roman"/>
          <w:color w:val="auto"/>
          <w:szCs w:val="21"/>
          <w:highlight w:val="none"/>
          <w:lang w:eastAsia="zh-CN"/>
        </w:rPr>
        <w:t>等</w:t>
      </w:r>
      <w:r>
        <w:rPr>
          <w:rFonts w:ascii="Times New Roman" w:hAnsi="Times New Roman" w:eastAsia="宋体" w:cs="Times New Roman"/>
          <w:color w:val="auto"/>
          <w:szCs w:val="21"/>
          <w:highlight w:val="none"/>
        </w:rPr>
        <w:t>，应遵循以下规定：</w:t>
      </w:r>
    </w:p>
    <w:p w14:paraId="3DD4959E">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 应以审慎态度避免泄漏、公开或传播甲方的信息；</w:t>
      </w:r>
    </w:p>
    <w:p w14:paraId="739EDF5F">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未经甲方书面许可，不得对有关信息进行修改、补充、复制；</w:t>
      </w:r>
    </w:p>
    <w:p w14:paraId="21FB21C0">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val="en-US" w:eastAsia="zh-CN"/>
        </w:rPr>
        <w:t>3</w:t>
      </w:r>
      <w:r>
        <w:rPr>
          <w:rFonts w:ascii="Times New Roman" w:hAnsi="Times New Roman" w:eastAsia="宋体" w:cs="Times New Roman"/>
          <w:color w:val="auto"/>
          <w:szCs w:val="21"/>
          <w:highlight w:val="none"/>
        </w:rPr>
        <w:t>） 未经甲方书面许可，不得将信息以任何方式（如E-mail）携带出甲方场所；</w:t>
      </w:r>
    </w:p>
    <w:p w14:paraId="1F618B4A">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val="en-US" w:eastAsia="zh-CN"/>
        </w:rPr>
        <w:t>4</w:t>
      </w:r>
      <w:r>
        <w:rPr>
          <w:rFonts w:ascii="Times New Roman" w:hAnsi="Times New Roman" w:eastAsia="宋体" w:cs="Times New Roman"/>
          <w:color w:val="auto"/>
          <w:szCs w:val="21"/>
          <w:highlight w:val="none"/>
        </w:rPr>
        <w:t xml:space="preserve">） 未经甲方书面许可，不得将信息透露给任何其他人； </w:t>
      </w:r>
    </w:p>
    <w:p w14:paraId="36CDE80F">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val="en-US" w:eastAsia="zh-CN"/>
        </w:rPr>
        <w:t>5</w:t>
      </w:r>
      <w:r>
        <w:rPr>
          <w:rFonts w:ascii="Times New Roman" w:hAnsi="Times New Roman" w:eastAsia="宋体" w:cs="Times New Roman"/>
          <w:color w:val="auto"/>
          <w:szCs w:val="21"/>
          <w:highlight w:val="none"/>
        </w:rPr>
        <w:t>） 甲方以书面形式提出的其他保密措施。</w:t>
      </w:r>
    </w:p>
    <w:p w14:paraId="5112C275">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4</w:t>
      </w:r>
      <w:r>
        <w:rPr>
          <w:rFonts w:ascii="Times New Roman" w:hAnsi="Times New Roman" w:eastAsia="宋体" w:cs="Times New Roman"/>
          <w:color w:val="auto"/>
          <w:szCs w:val="21"/>
          <w:highlight w:val="none"/>
        </w:rPr>
        <w:t>.3 保密期限不受合同有效期的限制，在合同有效期结束后，信息接受方仍应承担保密义务，直至该等信息成为公开信息。</w:t>
      </w:r>
    </w:p>
    <w:p w14:paraId="590CDE27">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4</w:t>
      </w:r>
      <w:r>
        <w:rPr>
          <w:rFonts w:ascii="Times New Roman" w:hAnsi="Times New Roman" w:eastAsia="宋体" w:cs="Times New Roman"/>
          <w:color w:val="auto"/>
          <w:szCs w:val="21"/>
          <w:highlight w:val="none"/>
        </w:rPr>
        <w:t>.4 甲乙双方如出现泄密行为，泄密方应承担相关的法律责任，包括但是不限于对由此给对方造成的经济损失进行赔偿。</w:t>
      </w:r>
    </w:p>
    <w:p w14:paraId="5A7549EF">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cs="Times New Roman"/>
          <w:b/>
          <w:color w:val="auto"/>
          <w:szCs w:val="21"/>
          <w:highlight w:val="none"/>
          <w:lang w:val="en-US" w:eastAsia="zh-CN"/>
        </w:rPr>
        <w:t>5</w:t>
      </w:r>
      <w:r>
        <w:rPr>
          <w:rFonts w:ascii="Times New Roman" w:hAnsi="Times New Roman" w:eastAsia="宋体" w:cs="Times New Roman"/>
          <w:b/>
          <w:color w:val="auto"/>
          <w:szCs w:val="21"/>
          <w:highlight w:val="none"/>
        </w:rPr>
        <w:t>. 交货和履约验收</w:t>
      </w:r>
    </w:p>
    <w:p w14:paraId="179FBD93">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5</w:t>
      </w:r>
      <w:r>
        <w:rPr>
          <w:rFonts w:ascii="Times New Roman" w:hAnsi="Times New Roman" w:eastAsia="宋体" w:cs="Times New Roman"/>
          <w:color w:val="auto"/>
          <w:szCs w:val="21"/>
          <w:highlight w:val="none"/>
        </w:rPr>
        <w:t>.1交货时间和地点：详见“合同条款前附表”第8项“交货时间和地点”</w:t>
      </w:r>
    </w:p>
    <w:p w14:paraId="075BB336">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5</w:t>
      </w:r>
      <w:r>
        <w:rPr>
          <w:rFonts w:ascii="Times New Roman" w:hAnsi="Times New Roman" w:eastAsia="宋体" w:cs="Times New Roman"/>
          <w:color w:val="auto"/>
          <w:szCs w:val="21"/>
          <w:highlight w:val="none"/>
        </w:rPr>
        <w:t>.2甲方在收到乙方交付的货物后应当及时组织验收。货物的表面瑕疵，甲方应在验收时当面提出；对质量问题有异议的应在安装调试时进行记录；甲方对货物进行检查验收合格后，应当及时履行验收手续。</w:t>
      </w:r>
    </w:p>
    <w:p w14:paraId="7B744520">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5</w:t>
      </w:r>
      <w:r>
        <w:rPr>
          <w:rFonts w:ascii="Times New Roman" w:hAnsi="Times New Roman" w:eastAsia="宋体" w:cs="Times New Roman"/>
          <w:color w:val="auto"/>
          <w:szCs w:val="21"/>
          <w:highlight w:val="none"/>
        </w:rPr>
        <w:t>.3在验收过程中发现数量不足或有质量等问题，乙方应按照合同要求采取补足、更换或退货等处理措施，并承担由此发生的一切费用和损失。</w:t>
      </w:r>
    </w:p>
    <w:p w14:paraId="7162C6A9">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5</w:t>
      </w:r>
      <w:r>
        <w:rPr>
          <w:rFonts w:ascii="Times New Roman" w:hAnsi="Times New Roman" w:eastAsia="宋体" w:cs="Times New Roman"/>
          <w:color w:val="auto"/>
          <w:szCs w:val="21"/>
          <w:highlight w:val="none"/>
        </w:rPr>
        <w:t>.4由甲方需求部门严格按照采购合同开展履约验收。验收时,应当按照本合同约定的技术、服务和安全标准，对供应商各项义务履行情况进行验收确认。未约定相关标准的，应当按照国家强制性规定、政策要求、安全标准和行业有关标准进行验收确认。验收结束后，应当出具验收意见，列明合同事项、验收标准及验收情况，由全体验收人员签字。大型或者复杂的货物采购项目，甲方可以邀请国家认可的质量检测机构参加验收工作，并由其出具验收报告。</w:t>
      </w:r>
    </w:p>
    <w:p w14:paraId="7283C6A9">
      <w:pPr>
        <w:spacing w:line="360" w:lineRule="auto"/>
        <w:ind w:firstLine="420" w:firstLineChars="200"/>
        <w:rPr>
          <w:rFonts w:ascii="Times New Roman" w:hAnsi="Times New Roman" w:eastAsia="宋体" w:cs="Times New Roman"/>
          <w:b/>
          <w:color w:val="auto"/>
          <w:szCs w:val="21"/>
          <w:highlight w:val="none"/>
        </w:rPr>
      </w:pPr>
      <w:r>
        <w:rPr>
          <w:rFonts w:hint="eastAsia" w:ascii="Times New Roman" w:hAnsi="Times New Roman" w:cs="Times New Roman"/>
          <w:color w:val="auto"/>
          <w:szCs w:val="21"/>
          <w:highlight w:val="none"/>
          <w:lang w:val="en-US" w:eastAsia="zh-CN"/>
        </w:rPr>
        <w:t>5</w:t>
      </w:r>
      <w:r>
        <w:rPr>
          <w:rFonts w:ascii="Times New Roman" w:hAnsi="Times New Roman" w:eastAsia="宋体" w:cs="Times New Roman"/>
          <w:color w:val="auto"/>
          <w:szCs w:val="21"/>
          <w:highlight w:val="none"/>
        </w:rPr>
        <w:t>.5具体履约验收要求详见招标文件。</w:t>
      </w:r>
    </w:p>
    <w:p w14:paraId="0E4752B4">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cs="Times New Roman"/>
          <w:b/>
          <w:color w:val="auto"/>
          <w:szCs w:val="21"/>
          <w:highlight w:val="none"/>
          <w:lang w:val="en-US" w:eastAsia="zh-CN"/>
        </w:rPr>
        <w:t>6</w:t>
      </w:r>
      <w:r>
        <w:rPr>
          <w:rFonts w:ascii="Times New Roman" w:hAnsi="Times New Roman" w:eastAsia="宋体" w:cs="Times New Roman"/>
          <w:b/>
          <w:color w:val="auto"/>
          <w:szCs w:val="21"/>
          <w:highlight w:val="none"/>
        </w:rPr>
        <w:t>. 履约保证金</w:t>
      </w:r>
    </w:p>
    <w:p w14:paraId="2A8A5A1F">
      <w:pPr>
        <w:tabs>
          <w:tab w:val="left" w:pos="700"/>
        </w:tabs>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6</w:t>
      </w:r>
      <w:r>
        <w:rPr>
          <w:rFonts w:ascii="Times New Roman" w:hAnsi="Times New Roman" w:eastAsia="宋体" w:cs="Times New Roman"/>
          <w:color w:val="auto"/>
          <w:szCs w:val="21"/>
          <w:highlight w:val="none"/>
        </w:rPr>
        <w:t>.1乙方在签署合同时，应向甲</w:t>
      </w:r>
      <w:r>
        <w:rPr>
          <w:rFonts w:ascii="宋体" w:hAnsi="宋体" w:eastAsia="宋体" w:cs="Times New Roman"/>
          <w:color w:val="auto"/>
          <w:szCs w:val="21"/>
          <w:highlight w:val="none"/>
        </w:rPr>
        <w:t>方提供履约保证金。</w:t>
      </w:r>
      <w:r>
        <w:rPr>
          <w:rFonts w:ascii="Times New Roman" w:hAnsi="Times New Roman" w:eastAsia="宋体" w:cs="Times New Roman"/>
          <w:color w:val="auto"/>
          <w:szCs w:val="21"/>
          <w:highlight w:val="none"/>
        </w:rPr>
        <w:t>履约保证金可以银行保函或银行电汇形式提交，也可以履约担保函的形式交纳。</w:t>
      </w:r>
    </w:p>
    <w:p w14:paraId="2E8B74AE">
      <w:pPr>
        <w:tabs>
          <w:tab w:val="left" w:pos="700"/>
        </w:tabs>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6</w:t>
      </w:r>
      <w:r>
        <w:rPr>
          <w:rFonts w:ascii="Times New Roman" w:hAnsi="Times New Roman" w:eastAsia="宋体" w:cs="Times New Roman"/>
          <w:color w:val="auto"/>
          <w:szCs w:val="21"/>
          <w:highlight w:val="none"/>
        </w:rPr>
        <w:t>.2履约保证金的金额应能补偿甲方因乙方不能完成其合同义务而蒙受的损失。</w:t>
      </w:r>
    </w:p>
    <w:p w14:paraId="5CD69E1E">
      <w:pPr>
        <w:tabs>
          <w:tab w:val="left" w:pos="700"/>
        </w:tabs>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6</w:t>
      </w:r>
      <w:r>
        <w:rPr>
          <w:rFonts w:ascii="Times New Roman" w:hAnsi="Times New Roman" w:eastAsia="宋体" w:cs="Times New Roman"/>
          <w:color w:val="auto"/>
          <w:szCs w:val="21"/>
          <w:highlight w:val="none"/>
        </w:rPr>
        <w:t>.3如乙方未能按时支付合同约定的违约金、赔偿金、其他应付款项等的，甲方有权按照本合同的约定从履约保证金中扣除上述款项。乙方应在甲方扣除履约保证金后 15 天内，及时补充扣除部分金额。若逾期补充的，每日应按应补充金额的万分之五（0.05%）支付甲方违约金。</w:t>
      </w:r>
    </w:p>
    <w:p w14:paraId="4124F7CB">
      <w:pPr>
        <w:tabs>
          <w:tab w:val="left" w:pos="700"/>
        </w:tabs>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6</w:t>
      </w:r>
      <w:r>
        <w:rPr>
          <w:rFonts w:ascii="Times New Roman" w:hAnsi="Times New Roman" w:eastAsia="宋体" w:cs="Times New Roman"/>
          <w:color w:val="auto"/>
          <w:szCs w:val="21"/>
          <w:highlight w:val="none"/>
        </w:rPr>
        <w:t>.4乙方不履行合同、或者履行合同义务不符合约定使得合同目的不能实现，履约保证金不予退还，并应按合同约定支付违约金、赔偿金等。</w:t>
      </w:r>
    </w:p>
    <w:p w14:paraId="38A7BD89">
      <w:pPr>
        <w:tabs>
          <w:tab w:val="left" w:pos="700"/>
        </w:tabs>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6</w:t>
      </w:r>
      <w:r>
        <w:rPr>
          <w:rFonts w:ascii="Times New Roman" w:hAnsi="Times New Roman" w:eastAsia="宋体" w:cs="Times New Roman"/>
          <w:color w:val="auto"/>
          <w:szCs w:val="21"/>
          <w:highlight w:val="none"/>
        </w:rPr>
        <w:t>.5履约保证金在合同履行期满后，凭返还申请等资料一次性返还，详见“合同条款前附表”第10项“履约保证金及返还”。</w:t>
      </w:r>
    </w:p>
    <w:p w14:paraId="7A86F0E0">
      <w:pPr>
        <w:tabs>
          <w:tab w:val="left" w:pos="0"/>
          <w:tab w:val="left" w:pos="540"/>
        </w:tabs>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cs="Times New Roman"/>
          <w:b/>
          <w:color w:val="auto"/>
          <w:szCs w:val="21"/>
          <w:highlight w:val="none"/>
          <w:lang w:val="en-US" w:eastAsia="zh-CN"/>
        </w:rPr>
        <w:t>7</w:t>
      </w:r>
      <w:r>
        <w:rPr>
          <w:rFonts w:ascii="Times New Roman" w:hAnsi="Times New Roman" w:eastAsia="宋体" w:cs="Times New Roman"/>
          <w:b/>
          <w:color w:val="auto"/>
          <w:szCs w:val="21"/>
          <w:highlight w:val="none"/>
        </w:rPr>
        <w:t>．履约延误</w:t>
      </w:r>
    </w:p>
    <w:p w14:paraId="372D228B">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7</w:t>
      </w:r>
      <w:r>
        <w:rPr>
          <w:rFonts w:ascii="Times New Roman" w:hAnsi="Times New Roman" w:eastAsia="宋体" w:cs="Times New Roman"/>
          <w:color w:val="auto"/>
          <w:szCs w:val="21"/>
          <w:highlight w:val="none"/>
        </w:rPr>
        <w:t>.1 乙方应按照本合同的规定的时间交货和提供服务。</w:t>
      </w:r>
    </w:p>
    <w:p w14:paraId="60F327A2">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7</w:t>
      </w:r>
      <w:r>
        <w:rPr>
          <w:rFonts w:ascii="Times New Roman" w:hAnsi="Times New Roman" w:eastAsia="宋体" w:cs="Times New Roman"/>
          <w:color w:val="auto"/>
          <w:szCs w:val="21"/>
          <w:highlight w:val="none"/>
        </w:rPr>
        <w:t>.2 如乙方没有按合同规定的时间交货和提供服务，甲方有权从货款或履约保证金中扣除误期赔偿费而不影响合同项下的其他补救方法。赔偿费按每日加收合同</w:t>
      </w:r>
      <w:r>
        <w:rPr>
          <w:rFonts w:hint="eastAsia" w:ascii="Times New Roman" w:hAnsi="Times New Roman" w:cs="Times New Roman"/>
          <w:color w:val="auto"/>
          <w:szCs w:val="21"/>
          <w:highlight w:val="none"/>
          <w:lang w:eastAsia="zh-CN"/>
        </w:rPr>
        <w:t>总</w:t>
      </w:r>
      <w:r>
        <w:rPr>
          <w:rFonts w:ascii="Times New Roman" w:hAnsi="Times New Roman" w:eastAsia="宋体" w:cs="Times New Roman"/>
          <w:color w:val="auto"/>
          <w:szCs w:val="21"/>
          <w:highlight w:val="none"/>
        </w:rPr>
        <w:t>金额的</w:t>
      </w:r>
      <w:r>
        <w:rPr>
          <w:rFonts w:ascii="Times New Roman" w:hAnsi="Times New Roman" w:eastAsia="宋体" w:cs="Times New Roman"/>
          <w:color w:val="auto"/>
          <w:szCs w:val="21"/>
          <w:highlight w:val="none"/>
          <w:u w:val="single"/>
        </w:rPr>
        <w:t>0.5</w:t>
      </w:r>
      <w:r>
        <w:rPr>
          <w:rFonts w:ascii="Times New Roman" w:hAnsi="Times New Roman" w:eastAsia="宋体" w:cs="Times New Roman"/>
          <w:color w:val="auto"/>
          <w:szCs w:val="21"/>
          <w:highlight w:val="none"/>
        </w:rPr>
        <w:t>%计收，直至交货或提供服务为止。但误期赔偿费的最高限额不超过合同价的</w:t>
      </w:r>
      <w:r>
        <w:rPr>
          <w:rFonts w:ascii="Times New Roman" w:hAnsi="Times New Roman" w:eastAsia="宋体" w:cs="Times New Roman"/>
          <w:color w:val="auto"/>
          <w:szCs w:val="21"/>
          <w:highlight w:val="none"/>
          <w:u w:val="single"/>
        </w:rPr>
        <w:t>15</w:t>
      </w:r>
      <w:r>
        <w:rPr>
          <w:rFonts w:ascii="Times New Roman" w:hAnsi="Times New Roman" w:eastAsia="宋体" w:cs="Times New Roman"/>
          <w:color w:val="auto"/>
          <w:szCs w:val="21"/>
          <w:highlight w:val="none"/>
        </w:rPr>
        <w:t>%。误期赔偿费累计达到合同</w:t>
      </w:r>
      <w:r>
        <w:rPr>
          <w:rFonts w:hint="eastAsia" w:ascii="Times New Roman" w:hAnsi="Times New Roman" w:cs="Times New Roman"/>
          <w:color w:val="auto"/>
          <w:szCs w:val="21"/>
          <w:highlight w:val="none"/>
          <w:lang w:eastAsia="zh-CN"/>
        </w:rPr>
        <w:t>总</w:t>
      </w:r>
      <w:r>
        <w:rPr>
          <w:rFonts w:ascii="Times New Roman" w:hAnsi="Times New Roman" w:eastAsia="宋体" w:cs="Times New Roman"/>
          <w:color w:val="auto"/>
          <w:szCs w:val="21"/>
          <w:highlight w:val="none"/>
        </w:rPr>
        <w:t>金额的</w:t>
      </w:r>
      <w:r>
        <w:rPr>
          <w:rFonts w:ascii="Times New Roman" w:hAnsi="Times New Roman" w:eastAsia="宋体" w:cs="Times New Roman"/>
          <w:color w:val="auto"/>
          <w:szCs w:val="21"/>
          <w:highlight w:val="none"/>
          <w:u w:val="single"/>
        </w:rPr>
        <w:t>15</w:t>
      </w:r>
      <w:r>
        <w:rPr>
          <w:rFonts w:ascii="Times New Roman" w:hAnsi="Times New Roman" w:eastAsia="宋体" w:cs="Times New Roman"/>
          <w:color w:val="auto"/>
          <w:szCs w:val="21"/>
          <w:highlight w:val="none"/>
        </w:rPr>
        <w:t>%时，甲方有权终止合同。</w:t>
      </w:r>
    </w:p>
    <w:p w14:paraId="464D9D2C">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7</w:t>
      </w:r>
      <w:r>
        <w:rPr>
          <w:rFonts w:ascii="Times New Roman" w:hAnsi="Times New Roman" w:eastAsia="宋体" w:cs="Times New Roman"/>
          <w:color w:val="auto"/>
          <w:szCs w:val="21"/>
          <w:highlight w:val="none"/>
        </w:rPr>
        <w:t>.3 在履行合同过程中，如果乙方可能遇到妨碍按时提供货物和服务的情况时，应及时以书面形式将拖延的事实，可能拖延的期限和理由通知甲方。甲方在收到乙方通知后，应尽快对情况进行评估，并确定是否酌情延长</w:t>
      </w:r>
      <w:r>
        <w:rPr>
          <w:rFonts w:hint="eastAsia" w:ascii="Times New Roman" w:hAnsi="Times New Roman" w:cs="Times New Roman"/>
          <w:color w:val="auto"/>
          <w:szCs w:val="21"/>
          <w:highlight w:val="none"/>
          <w:lang w:eastAsia="zh-CN"/>
        </w:rPr>
        <w:t>送货时间</w:t>
      </w:r>
      <w:r>
        <w:rPr>
          <w:rFonts w:ascii="Times New Roman" w:hAnsi="Times New Roman" w:eastAsia="宋体" w:cs="Times New Roman"/>
          <w:color w:val="auto"/>
          <w:szCs w:val="21"/>
          <w:highlight w:val="none"/>
        </w:rPr>
        <w:t>以及是否收取误期赔偿费。</w:t>
      </w:r>
    </w:p>
    <w:p w14:paraId="7C37ABCD">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7</w:t>
      </w:r>
      <w:r>
        <w:rPr>
          <w:rFonts w:ascii="Times New Roman" w:hAnsi="Times New Roman" w:eastAsia="宋体" w:cs="Times New Roman"/>
          <w:color w:val="auto"/>
          <w:szCs w:val="21"/>
          <w:highlight w:val="none"/>
        </w:rPr>
        <w:t>.4 除不可抗力和根据合同规定延期取得甲方同意而不收取误期赔偿费之外，乙方延误</w:t>
      </w:r>
      <w:r>
        <w:rPr>
          <w:rFonts w:hint="eastAsia" w:ascii="Times New Roman" w:hAnsi="Times New Roman" w:cs="Times New Roman"/>
          <w:color w:val="auto"/>
          <w:szCs w:val="21"/>
          <w:highlight w:val="none"/>
          <w:lang w:eastAsia="zh-CN"/>
        </w:rPr>
        <w:t>送货时间</w:t>
      </w:r>
      <w:r>
        <w:rPr>
          <w:rFonts w:ascii="Times New Roman" w:hAnsi="Times New Roman" w:eastAsia="宋体" w:cs="Times New Roman"/>
          <w:color w:val="auto"/>
          <w:szCs w:val="21"/>
          <w:highlight w:val="none"/>
        </w:rPr>
        <w:t>，将按合同规定被收取误期赔偿费。</w:t>
      </w:r>
    </w:p>
    <w:p w14:paraId="4BBB37E0">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7</w:t>
      </w:r>
      <w:r>
        <w:rPr>
          <w:rFonts w:ascii="Times New Roman" w:hAnsi="Times New Roman" w:eastAsia="宋体" w:cs="Times New Roman"/>
          <w:color w:val="auto"/>
          <w:szCs w:val="21"/>
          <w:highlight w:val="none"/>
        </w:rPr>
        <w:t>.5 逾期退还履约保证金的违约责任。满足履约保证金返还条件的，甲方在收到返还相关信息等合同约定资料后，进行核实。对核实结果无异议的，应当自完成核实之日起</w:t>
      </w:r>
      <w:r>
        <w:rPr>
          <w:rFonts w:ascii="Times New Roman" w:hAnsi="Times New Roman" w:eastAsia="宋体" w:cs="Times New Roman"/>
          <w:color w:val="auto"/>
          <w:szCs w:val="21"/>
          <w:highlight w:val="none"/>
          <w:u w:val="single"/>
        </w:rPr>
        <w:t>30</w:t>
      </w:r>
      <w:r>
        <w:rPr>
          <w:rFonts w:ascii="Times New Roman" w:hAnsi="Times New Roman" w:eastAsia="宋体" w:cs="Times New Roman"/>
          <w:color w:val="auto"/>
          <w:szCs w:val="21"/>
          <w:highlight w:val="none"/>
        </w:rPr>
        <w:t>日内返还履约保证金。无特殊原因逾期退还履约保证金，乙方可要求支付逾期银行同期活期存款利息。特殊原因逾期返还的，双方协商解决。</w:t>
      </w:r>
    </w:p>
    <w:p w14:paraId="68CA7083">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cs="Times New Roman"/>
          <w:b/>
          <w:color w:val="auto"/>
          <w:szCs w:val="21"/>
          <w:highlight w:val="none"/>
          <w:lang w:val="en-US" w:eastAsia="zh-CN"/>
        </w:rPr>
        <w:t>8</w:t>
      </w:r>
      <w:r>
        <w:rPr>
          <w:rFonts w:ascii="Times New Roman" w:hAnsi="Times New Roman" w:eastAsia="宋体" w:cs="Times New Roman"/>
          <w:b/>
          <w:color w:val="auto"/>
          <w:szCs w:val="21"/>
          <w:highlight w:val="none"/>
        </w:rPr>
        <w:t>. 违约责任</w:t>
      </w:r>
    </w:p>
    <w:p w14:paraId="6D8C620C">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8</w:t>
      </w:r>
      <w:r>
        <w:rPr>
          <w:rFonts w:ascii="Times New Roman" w:hAnsi="Times New Roman" w:eastAsia="宋体" w:cs="Times New Roman"/>
          <w:color w:val="auto"/>
          <w:szCs w:val="21"/>
          <w:highlight w:val="none"/>
        </w:rPr>
        <w:t>.1 除本合同另有约定外，乙方不履行合同义务或者履行合同义务不符合合同约定的，按每违反一次从应付款项中扣除合同总金额的百分之一（1%）作为违约金；此外，应当承担继续履行、采取补救措施或者赔偿损失等违约责任。乙方支付的上述违约金、赔偿金等不足以弥补甲方损失的，应继续承担赔偿责任。本合同约定的损失，包括但不限于：直接损失、调查取证费、诉讼费、律师费等。</w:t>
      </w:r>
    </w:p>
    <w:p w14:paraId="21D4DFCC">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8</w:t>
      </w:r>
      <w:r>
        <w:rPr>
          <w:rFonts w:ascii="Times New Roman" w:hAnsi="Times New Roman" w:eastAsia="宋体" w:cs="Times New Roman"/>
          <w:color w:val="auto"/>
          <w:szCs w:val="21"/>
          <w:highlight w:val="none"/>
        </w:rPr>
        <w:t>.2 乙方没有按照时限要求提供货物和服务，且在延长的期限内没有采取补救措施，甲方有权自行采取其他方式进行补救，所发生的一切费用从乙方的合同款项中扣除。</w:t>
      </w:r>
    </w:p>
    <w:p w14:paraId="7C8A84D7">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8</w:t>
      </w:r>
      <w:r>
        <w:rPr>
          <w:rFonts w:ascii="Times New Roman" w:hAnsi="Times New Roman" w:eastAsia="宋体" w:cs="Times New Roman"/>
          <w:color w:val="auto"/>
          <w:szCs w:val="21"/>
          <w:highlight w:val="none"/>
        </w:rPr>
        <w:t>.3 甲方有权根据合同或有关部门出具的检验证书向乙方提出索赔。</w:t>
      </w:r>
    </w:p>
    <w:p w14:paraId="0B04379F">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8</w:t>
      </w:r>
      <w:r>
        <w:rPr>
          <w:rFonts w:ascii="Times New Roman" w:hAnsi="Times New Roman" w:eastAsia="宋体" w:cs="Times New Roman"/>
          <w:color w:val="auto"/>
          <w:szCs w:val="21"/>
          <w:highlight w:val="none"/>
        </w:rPr>
        <w:t>.4 如果乙方对差异负有责任而甲方提出索赔，乙方同意按照下列方式解决索赔事宜：</w:t>
      </w:r>
    </w:p>
    <w:p w14:paraId="46D6BCFC">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如果在甲方发出索赔通知后5个工作日内，乙方未作书面答复，上述索赔应视为已被乙方接受。如乙方未能在甲方发出索赔通知后5个工作日内或甲方同意的延长期限内着手解决索赔事宜，甲方有权从乙方的合同款项中扣除索赔金额。</w:t>
      </w:r>
    </w:p>
    <w:p w14:paraId="741EABE8">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8</w:t>
      </w:r>
      <w:r>
        <w:rPr>
          <w:rFonts w:ascii="Times New Roman" w:hAnsi="Times New Roman" w:eastAsia="宋体" w:cs="Times New Roman"/>
          <w:color w:val="auto"/>
          <w:szCs w:val="21"/>
          <w:highlight w:val="none"/>
        </w:rPr>
        <w:t>.5 乙方利用在本项目为税务机关提供信息化货物和服务的便利，向纳税人缴费人搭车收费或变相收费的，或有其他失信行为的，纳入国家税务总局失信名单。</w:t>
      </w:r>
    </w:p>
    <w:p w14:paraId="7863B2D7">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对于影响恶劣的严重违法失信行为，推送财政部纳入政府采购严重违法失信行为记录名单。</w:t>
      </w:r>
    </w:p>
    <w:p w14:paraId="2E58D573">
      <w:pPr>
        <w:spacing w:line="360" w:lineRule="auto"/>
        <w:ind w:firstLine="441" w:firstLineChars="21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8</w:t>
      </w:r>
      <w:r>
        <w:rPr>
          <w:rFonts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val="en-US" w:eastAsia="zh-CN"/>
        </w:rPr>
        <w:t>6</w:t>
      </w:r>
      <w:r>
        <w:rPr>
          <w:rFonts w:ascii="Times New Roman" w:hAnsi="Times New Roman" w:eastAsia="宋体" w:cs="Times New Roman"/>
          <w:color w:val="auto"/>
          <w:szCs w:val="21"/>
          <w:highlight w:val="none"/>
        </w:rPr>
        <w:t xml:space="preserve"> 乙方在本合同履行期间存在“围猎”甲方税务人员行为的（指以获取不正当利益为目的，采取馈赠礼品礼金、邀请娱乐旅游消费、提供便利条件等非正常交往手段“围猎”相关税务人员及亲属），自甲方认定或通报之日起三年内，甲方可以拒绝乙方参与其政府采购活动。</w:t>
      </w:r>
    </w:p>
    <w:p w14:paraId="1F750788">
      <w:pPr>
        <w:spacing w:line="360" w:lineRule="auto"/>
        <w:ind w:firstLine="441" w:firstLineChars="21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8</w:t>
      </w:r>
      <w:r>
        <w:rPr>
          <w:rFonts w:ascii="Times New Roman" w:hAnsi="Times New Roman" w:eastAsia="宋体" w:cs="Times New Roman"/>
          <w:color w:val="auto"/>
          <w:szCs w:val="21"/>
          <w:highlight w:val="none"/>
        </w:rPr>
        <w:t>.</w:t>
      </w:r>
      <w:r>
        <w:rPr>
          <w:rFonts w:hint="eastAsia" w:ascii="Times New Roman" w:hAnsi="Times New Roman" w:cs="Times New Roman"/>
          <w:color w:val="auto"/>
          <w:szCs w:val="21"/>
          <w:highlight w:val="none"/>
          <w:lang w:val="en-US" w:eastAsia="zh-CN"/>
        </w:rPr>
        <w:t>7</w:t>
      </w:r>
      <w:r>
        <w:rPr>
          <w:rFonts w:ascii="Times New Roman" w:hAnsi="Times New Roman" w:eastAsia="宋体" w:cs="Times New Roman"/>
          <w:color w:val="auto"/>
          <w:szCs w:val="21"/>
          <w:highlight w:val="none"/>
        </w:rPr>
        <w:t xml:space="preserve"> 对于本协议未约定的、招标（采购）文件（技术部分）中约定的违约处理条款，按招标（采购）文件（技术部分）相关约定执行；对本协议与招标（采购）文件（技术部分）约定不同的违约处理条款，以本协议约定为准。</w:t>
      </w:r>
    </w:p>
    <w:p w14:paraId="73ACD7E1">
      <w:pPr>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cs="Times New Roman"/>
          <w:b/>
          <w:color w:val="auto"/>
          <w:szCs w:val="21"/>
          <w:highlight w:val="none"/>
          <w:lang w:val="en-US" w:eastAsia="zh-CN"/>
        </w:rPr>
        <w:t>9</w:t>
      </w:r>
      <w:r>
        <w:rPr>
          <w:rFonts w:ascii="Times New Roman" w:hAnsi="Times New Roman" w:eastAsia="宋体" w:cs="Times New Roman"/>
          <w:b/>
          <w:color w:val="auto"/>
          <w:szCs w:val="21"/>
          <w:highlight w:val="none"/>
        </w:rPr>
        <w:t>. 不可抗力</w:t>
      </w:r>
    </w:p>
    <w:p w14:paraId="7BE596B3">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9</w:t>
      </w:r>
      <w:r>
        <w:rPr>
          <w:rFonts w:ascii="Times New Roman" w:hAnsi="Times New Roman" w:eastAsia="宋体" w:cs="Times New Roman"/>
          <w:color w:val="auto"/>
          <w:szCs w:val="21"/>
          <w:highlight w:val="none"/>
        </w:rPr>
        <w:t>.1 本条所述的“不可抗力”系指双方不可预见、不可避免、不可克服的客观情况，但不包括双方的违约或疏忽。这些事件包括但不限于：战争、严重火灾、洪水、台风、地震等。</w:t>
      </w:r>
    </w:p>
    <w:p w14:paraId="748C556D">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9</w:t>
      </w:r>
      <w:r>
        <w:rPr>
          <w:rFonts w:ascii="Times New Roman" w:hAnsi="Times New Roman" w:eastAsia="宋体" w:cs="Times New Roman"/>
          <w:color w:val="auto"/>
          <w:szCs w:val="21"/>
          <w:highlight w:val="none"/>
        </w:rPr>
        <w:t>.2 如果乙方因不可抗力而导致合同实施延误或不能履行合同义务，不应承担误期赔偿或终止合同的责任。</w:t>
      </w:r>
    </w:p>
    <w:p w14:paraId="723F1F96">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9</w:t>
      </w:r>
      <w:r>
        <w:rPr>
          <w:rFonts w:ascii="Times New Roman" w:hAnsi="Times New Roman" w:eastAsia="宋体" w:cs="Times New Roman"/>
          <w:color w:val="auto"/>
          <w:szCs w:val="21"/>
          <w:highlight w:val="none"/>
        </w:rPr>
        <w:t>.3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7896E464">
      <w:pP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9</w:t>
      </w:r>
      <w:r>
        <w:rPr>
          <w:rFonts w:ascii="Times New Roman" w:hAnsi="Times New Roman" w:eastAsia="宋体" w:cs="Times New Roman"/>
          <w:color w:val="auto"/>
          <w:szCs w:val="21"/>
          <w:highlight w:val="none"/>
        </w:rPr>
        <w:t>.4 如因国家政策变化、技术实施所需的客观环境发生变化、重大技术变化、国家调减预算、乙方在执行合同的过程中发生对履行合同有直接影响的重大事故或变故、甲方工作计划调整及推广使用新应用系统导致本项目相关服务停止等原因，本合同不能继续全部或部分履行，甲方有权通知乙方解除本合同的全部或部分，双方将按已经实际履行并验收合格的合同内容进行结算。</w:t>
      </w:r>
    </w:p>
    <w:p w14:paraId="6900E071">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cs="Times New Roman"/>
          <w:b/>
          <w:color w:val="auto"/>
          <w:szCs w:val="21"/>
          <w:highlight w:val="none"/>
          <w:lang w:val="en-US" w:eastAsia="zh-CN"/>
        </w:rPr>
        <w:t>0</w:t>
      </w:r>
      <w:r>
        <w:rPr>
          <w:rFonts w:ascii="Times New Roman" w:hAnsi="Times New Roman" w:eastAsia="宋体" w:cs="Times New Roman"/>
          <w:b/>
          <w:color w:val="auto"/>
          <w:szCs w:val="21"/>
          <w:highlight w:val="none"/>
        </w:rPr>
        <w:t>. 争端的解决</w:t>
      </w:r>
    </w:p>
    <w:p w14:paraId="637206E3">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0</w:t>
      </w:r>
      <w:r>
        <w:rPr>
          <w:rFonts w:ascii="Times New Roman" w:hAnsi="Times New Roman" w:eastAsia="宋体" w:cs="Times New Roman"/>
          <w:color w:val="auto"/>
          <w:szCs w:val="21"/>
          <w:highlight w:val="none"/>
        </w:rPr>
        <w:t>.1 甲乙双方应首先通过友好协商解决在执行本合同中所发生的或与本合同有关的一切争端。如协商开始</w:t>
      </w:r>
      <w:r>
        <w:rPr>
          <w:rFonts w:ascii="Times New Roman" w:hAnsi="Times New Roman" w:eastAsia="宋体" w:cs="Times New Roman"/>
          <w:color w:val="auto"/>
          <w:szCs w:val="21"/>
          <w:highlight w:val="none"/>
          <w:u w:val="single"/>
        </w:rPr>
        <w:t>30</w:t>
      </w:r>
      <w:r>
        <w:rPr>
          <w:rFonts w:ascii="Times New Roman" w:hAnsi="Times New Roman" w:eastAsia="宋体" w:cs="Times New Roman"/>
          <w:color w:val="auto"/>
          <w:szCs w:val="21"/>
          <w:highlight w:val="none"/>
        </w:rPr>
        <w:t>天内仍不能解决，可以</w:t>
      </w:r>
      <w:r>
        <w:rPr>
          <w:rFonts w:hint="eastAsia" w:ascii="Times New Roman" w:hAnsi="Times New Roman" w:eastAsia="宋体" w:cs="Times New Roman"/>
          <w:color w:val="auto"/>
          <w:szCs w:val="21"/>
          <w:highlight w:val="none"/>
        </w:rPr>
        <w:t>按《合同前附表》规定</w:t>
      </w:r>
      <w:r>
        <w:rPr>
          <w:rFonts w:ascii="Times New Roman" w:hAnsi="Times New Roman" w:eastAsia="宋体" w:cs="Times New Roman"/>
          <w:color w:val="auto"/>
          <w:szCs w:val="21"/>
          <w:highlight w:val="none"/>
        </w:rPr>
        <w:t>的方式提起仲裁或诉讼。</w:t>
      </w:r>
    </w:p>
    <w:p w14:paraId="3162A542">
      <w:pPr>
        <w:keepNext w:val="0"/>
        <w:keepLines w:val="0"/>
        <w:pageBreakBefore w:val="0"/>
        <w:widowControl w:val="0"/>
        <w:kinsoku/>
        <w:wordWrap/>
        <w:overflowPunct/>
        <w:bidi w:val="0"/>
        <w:adjustRightInd/>
        <w:snapToGrid/>
        <w:spacing w:line="360" w:lineRule="auto"/>
        <w:ind w:left="239" w:leftChars="114" w:firstLine="210" w:firstLineChars="1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仲裁应</w:t>
      </w:r>
      <w:r>
        <w:rPr>
          <w:rFonts w:hint="default" w:ascii="Times New Roman" w:hAnsi="Times New Roman" w:cs="Times New Roman"/>
          <w:color w:val="auto"/>
          <w:sz w:val="21"/>
          <w:szCs w:val="21"/>
          <w:highlight w:val="none"/>
          <w:lang w:eastAsia="zh-CN"/>
        </w:rPr>
        <w:t>向</w:t>
      </w:r>
      <w:r>
        <w:rPr>
          <w:rFonts w:hint="default" w:ascii="Times New Roman" w:hAnsi="Times New Roman" w:cs="Times New Roman"/>
          <w:color w:val="auto"/>
          <w:sz w:val="21"/>
          <w:szCs w:val="21"/>
          <w:highlight w:val="none"/>
        </w:rPr>
        <w:t>甲方所在地或</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仲裁委员会申请仲裁。</w:t>
      </w:r>
    </w:p>
    <w:p w14:paraId="199C9506">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 xml:space="preserve"> 仲裁裁决应为最终裁决，对双方均具有约束力。</w:t>
      </w:r>
    </w:p>
    <w:p w14:paraId="364BCEDF">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rPr>
        <w:t xml:space="preserve"> 仲裁费除仲裁机关另有裁决外应由败诉方负担。</w:t>
      </w:r>
    </w:p>
    <w:p w14:paraId="5CEC3A5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在仲裁期间，除正在进行仲裁部分外，本合同的其它部分应继续执行。</w:t>
      </w:r>
    </w:p>
    <w:p w14:paraId="7336D890">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.3诉讼应向甲方所在地或</w:t>
      </w:r>
      <w:r>
        <w:rPr>
          <w:rFonts w:hint="eastAsia" w:ascii="宋体" w:hAnsi="宋体" w:cs="宋体"/>
          <w:color w:val="auto"/>
          <w:sz w:val="21"/>
          <w:szCs w:val="21"/>
          <w:highlight w:val="none"/>
          <w:u w:val="single"/>
          <w:lang w:val="en-US" w:eastAsia="zh-CN"/>
        </w:rPr>
        <w:t>项目所在地有管辖权的</w:t>
      </w:r>
      <w:r>
        <w:rPr>
          <w:rFonts w:hint="default" w:ascii="Times New Roman" w:hAnsi="Times New Roman" w:cs="Times New Roman"/>
          <w:color w:val="auto"/>
          <w:sz w:val="21"/>
          <w:szCs w:val="21"/>
          <w:highlight w:val="none"/>
          <w:lang w:val="en-US" w:eastAsia="zh-CN"/>
        </w:rPr>
        <w:t>人民法院提起诉讼。</w:t>
      </w:r>
    </w:p>
    <w:p w14:paraId="74F9B8B5">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lang w:val="en-US" w:eastAsia="zh-CN"/>
        </w:rPr>
        <w:t>诉讼费除人民法院另有判决外，应由败诉方负担。</w:t>
      </w:r>
    </w:p>
    <w:p w14:paraId="2683A461">
      <w:pPr>
        <w:keepNext w:val="0"/>
        <w:keepLines w:val="0"/>
        <w:pageBreakBefore w:val="0"/>
        <w:widowControl w:val="0"/>
        <w:kinsoku/>
        <w:wordWrap/>
        <w:overflowPunct/>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color w:val="auto"/>
          <w:sz w:val="21"/>
          <w:szCs w:val="21"/>
          <w:highlight w:val="none"/>
          <w:lang w:val="en-US" w:eastAsia="zh-CN"/>
        </w:rPr>
        <w:t>3.</w:t>
      </w:r>
      <w:r>
        <w:rPr>
          <w:rFonts w:hint="eastAsia" w:ascii="Times New Roman" w:hAnsi="Times New Roman" w:cs="Times New Roman"/>
          <w:color w:val="auto"/>
          <w:sz w:val="21"/>
          <w:szCs w:val="21"/>
          <w:highlight w:val="none"/>
          <w:lang w:val="en-US" w:eastAsia="zh-CN"/>
        </w:rPr>
        <w:t>2</w:t>
      </w:r>
      <w:r>
        <w:rPr>
          <w:rFonts w:hint="default" w:ascii="Times New Roman" w:hAnsi="Times New Roman" w:cs="Times New Roman"/>
          <w:color w:val="auto"/>
          <w:sz w:val="21"/>
          <w:szCs w:val="21"/>
          <w:highlight w:val="none"/>
          <w:lang w:val="en-US" w:eastAsia="zh-CN"/>
        </w:rPr>
        <w:t>在诉讼期间，除正在进行诉讼部分外，本</w:t>
      </w:r>
      <w:r>
        <w:rPr>
          <w:rFonts w:hint="default" w:ascii="Times New Roman" w:hAnsi="Times New Roman" w:cs="Times New Roman"/>
          <w:color w:val="auto"/>
          <w:sz w:val="21"/>
          <w:szCs w:val="21"/>
          <w:highlight w:val="none"/>
        </w:rPr>
        <w:t>合同的其它部分应继续执行。</w:t>
      </w:r>
    </w:p>
    <w:p w14:paraId="543869B2">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cs="Times New Roman"/>
          <w:b/>
          <w:color w:val="auto"/>
          <w:szCs w:val="21"/>
          <w:highlight w:val="none"/>
          <w:lang w:val="en-US" w:eastAsia="zh-CN"/>
        </w:rPr>
        <w:t>1</w:t>
      </w:r>
      <w:r>
        <w:rPr>
          <w:rFonts w:ascii="Times New Roman" w:hAnsi="Times New Roman" w:eastAsia="宋体" w:cs="Times New Roman"/>
          <w:b/>
          <w:color w:val="auto"/>
          <w:szCs w:val="21"/>
          <w:highlight w:val="none"/>
        </w:rPr>
        <w:t>. 违约终止合同</w:t>
      </w:r>
    </w:p>
    <w:p w14:paraId="7751E05A">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ascii="Times New Roman" w:hAnsi="Times New Roman" w:eastAsia="宋体" w:cs="Times New Roman"/>
          <w:color w:val="auto"/>
          <w:szCs w:val="21"/>
          <w:highlight w:val="none"/>
        </w:rPr>
        <w:t>.1 若出现如下情况，在甲方对乙方违约行为而采取的任何补救措施不受影响的情况下，甲方可向乙方发出书面通知书，提出终止部分或全部合同。</w:t>
      </w:r>
    </w:p>
    <w:p w14:paraId="49797663">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ascii="Times New Roman" w:hAnsi="Times New Roman" w:eastAsia="宋体" w:cs="Times New Roman"/>
          <w:color w:val="auto"/>
          <w:szCs w:val="21"/>
          <w:highlight w:val="none"/>
        </w:rPr>
        <w:t>.1.1 乙方不履行合同</w:t>
      </w:r>
      <w:r>
        <w:rPr>
          <w:rFonts w:hint="eastAsia" w:ascii="Times New Roman" w:hAnsi="Times New Roman" w:cs="Times New Roman"/>
          <w:color w:val="auto"/>
          <w:szCs w:val="21"/>
          <w:highlight w:val="none"/>
          <w:lang w:eastAsia="zh-CN"/>
        </w:rPr>
        <w:t>义务</w:t>
      </w:r>
      <w:r>
        <w:rPr>
          <w:rFonts w:ascii="Times New Roman" w:hAnsi="Times New Roman" w:eastAsia="宋体" w:cs="Times New Roman"/>
          <w:color w:val="auto"/>
          <w:szCs w:val="21"/>
          <w:highlight w:val="none"/>
        </w:rPr>
        <w:t>或者履行合同义务不符合合同约定；</w:t>
      </w:r>
    </w:p>
    <w:p w14:paraId="64F315AB">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ascii="Times New Roman" w:hAnsi="Times New Roman" w:eastAsia="宋体" w:cs="Times New Roman"/>
          <w:color w:val="auto"/>
          <w:szCs w:val="21"/>
          <w:highlight w:val="none"/>
        </w:rPr>
        <w:t>.1.2 如果乙方未能在合同规定的期限或甲方同意延长的期限内提供货物和服务；</w:t>
      </w:r>
    </w:p>
    <w:p w14:paraId="7BA7B090">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ascii="Times New Roman" w:hAnsi="Times New Roman" w:eastAsia="宋体" w:cs="Times New Roman"/>
          <w:color w:val="auto"/>
          <w:szCs w:val="21"/>
          <w:highlight w:val="none"/>
        </w:rPr>
        <w:t>.1.3 因乙方人员自身技术能力、经验不足等问题造成甲方发生重大紧急故障，带来重大影响和损失的；</w:t>
      </w:r>
    </w:p>
    <w:p w14:paraId="6F2FB46E">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ascii="Times New Roman" w:hAnsi="Times New Roman" w:eastAsia="宋体" w:cs="Times New Roman"/>
          <w:color w:val="auto"/>
          <w:szCs w:val="21"/>
          <w:highlight w:val="none"/>
        </w:rPr>
        <w:t>.1.4 在合同质保期内，乙方对重大紧急</w:t>
      </w:r>
      <w:r>
        <w:rPr>
          <w:rFonts w:hint="eastAsia" w:ascii="Times New Roman" w:hAnsi="Times New Roman" w:cs="Times New Roman"/>
          <w:color w:val="auto"/>
          <w:szCs w:val="21"/>
          <w:highlight w:val="none"/>
          <w:lang w:eastAsia="zh-CN"/>
        </w:rPr>
        <w:t>事件</w:t>
      </w:r>
      <w:r>
        <w:rPr>
          <w:rFonts w:ascii="Times New Roman" w:hAnsi="Times New Roman" w:eastAsia="宋体" w:cs="Times New Roman"/>
          <w:color w:val="auto"/>
          <w:szCs w:val="21"/>
          <w:highlight w:val="none"/>
        </w:rPr>
        <w:t>没有及时响应，或不能在规定时间内解决处理</w:t>
      </w:r>
      <w:r>
        <w:rPr>
          <w:rFonts w:hint="eastAsia" w:ascii="Times New Roman" w:hAnsi="Times New Roman" w:cs="Times New Roman"/>
          <w:color w:val="auto"/>
          <w:szCs w:val="21"/>
          <w:highlight w:val="none"/>
          <w:lang w:eastAsia="zh-CN"/>
        </w:rPr>
        <w:t>事件</w:t>
      </w:r>
      <w:r>
        <w:rPr>
          <w:rFonts w:ascii="Times New Roman" w:hAnsi="Times New Roman" w:eastAsia="宋体" w:cs="Times New Roman"/>
          <w:color w:val="auto"/>
          <w:szCs w:val="21"/>
          <w:highlight w:val="none"/>
        </w:rPr>
        <w:t>、恢复正常运行的；</w:t>
      </w:r>
    </w:p>
    <w:p w14:paraId="4DC40D46">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ascii="Times New Roman" w:hAnsi="Times New Roman" w:eastAsia="宋体" w:cs="Times New Roman"/>
          <w:color w:val="auto"/>
          <w:szCs w:val="21"/>
          <w:highlight w:val="none"/>
        </w:rPr>
        <w:t>.1.5 不能满足本项目技术需求的管理要求和规范，且经多次整改无明显改进的；</w:t>
      </w:r>
    </w:p>
    <w:p w14:paraId="247E069B">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ascii="Times New Roman" w:hAnsi="Times New Roman" w:eastAsia="宋体" w:cs="Times New Roman"/>
          <w:color w:val="auto"/>
          <w:szCs w:val="21"/>
          <w:highlight w:val="none"/>
        </w:rPr>
        <w:t>.1.6 乙方利用本项目为税务机关提供信息化货物和服务的便利，向纳税人缴费人搭车收费或变相收费的，或有其他失信行为的。</w:t>
      </w:r>
    </w:p>
    <w:p w14:paraId="6640F3FF">
      <w:pPr>
        <w:spacing w:line="360" w:lineRule="auto"/>
        <w:ind w:firstLine="441" w:firstLineChars="21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1</w:t>
      </w:r>
      <w:r>
        <w:rPr>
          <w:rFonts w:ascii="Times New Roman" w:hAnsi="Times New Roman" w:eastAsia="宋体" w:cs="Times New Roman"/>
          <w:color w:val="auto"/>
          <w:szCs w:val="21"/>
          <w:highlight w:val="none"/>
        </w:rPr>
        <w:t>.2 如果甲方根据上述第1</w:t>
      </w:r>
      <w:r>
        <w:rPr>
          <w:rFonts w:hint="eastAsia" w:ascii="Times New Roman" w:hAnsi="Times New Roman" w:cs="Times New Roman"/>
          <w:color w:val="auto"/>
          <w:szCs w:val="21"/>
          <w:highlight w:val="none"/>
          <w:lang w:val="en-US" w:eastAsia="zh-CN"/>
        </w:rPr>
        <w:t>1</w:t>
      </w:r>
      <w:r>
        <w:rPr>
          <w:rFonts w:ascii="Times New Roman" w:hAnsi="Times New Roman" w:eastAsia="宋体" w:cs="Times New Roman"/>
          <w:color w:val="auto"/>
          <w:szCs w:val="21"/>
          <w:highlight w:val="none"/>
        </w:rPr>
        <w:t>.1条的规定，终止了全部或部分合同，甲方可以适当的条件和方法购买乙方未能提供的货物和服务，乙方应对甲方购买类似货物和服务所超出的费用负责。同时，乙方应继续执行合同中未终止的部分。</w:t>
      </w:r>
    </w:p>
    <w:p w14:paraId="210193F2">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cs="Times New Roman"/>
          <w:b/>
          <w:color w:val="auto"/>
          <w:szCs w:val="21"/>
          <w:highlight w:val="none"/>
          <w:lang w:val="en-US" w:eastAsia="zh-CN"/>
        </w:rPr>
        <w:t>2</w:t>
      </w:r>
      <w:r>
        <w:rPr>
          <w:rFonts w:ascii="Times New Roman" w:hAnsi="Times New Roman" w:eastAsia="宋体" w:cs="Times New Roman"/>
          <w:b/>
          <w:color w:val="auto"/>
          <w:szCs w:val="21"/>
          <w:highlight w:val="none"/>
        </w:rPr>
        <w:t>. 破产终止合同</w:t>
      </w:r>
    </w:p>
    <w:p w14:paraId="0B223AD9">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ascii="Times New Roman" w:hAnsi="Times New Roman" w:eastAsia="宋体" w:cs="Times New Roman"/>
          <w:color w:val="auto"/>
          <w:szCs w:val="21"/>
          <w:highlight w:val="none"/>
        </w:rPr>
        <w:t>.1 如果乙方破产或无清偿能力，甲方可在任何时候以书面形式通知乙方终止合同而不给乙方补偿。</w:t>
      </w:r>
    </w:p>
    <w:p w14:paraId="4FD75F6F">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ascii="Times New Roman" w:hAnsi="Times New Roman" w:eastAsia="宋体" w:cs="Times New Roman"/>
          <w:color w:val="auto"/>
          <w:szCs w:val="21"/>
          <w:highlight w:val="none"/>
        </w:rPr>
        <w:t>.2该终止合同将不损害或影响甲方已经采取或将要采取的任何行动或补救措施的权力。</w:t>
      </w:r>
    </w:p>
    <w:p w14:paraId="4A6C5B9A">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cs="Times New Roman"/>
          <w:b/>
          <w:color w:val="auto"/>
          <w:szCs w:val="21"/>
          <w:highlight w:val="none"/>
          <w:lang w:val="en-US" w:eastAsia="zh-CN"/>
        </w:rPr>
        <w:t>3</w:t>
      </w:r>
      <w:r>
        <w:rPr>
          <w:rFonts w:ascii="Times New Roman" w:hAnsi="Times New Roman" w:eastAsia="宋体" w:cs="Times New Roman"/>
          <w:b/>
          <w:color w:val="auto"/>
          <w:szCs w:val="21"/>
          <w:highlight w:val="none"/>
        </w:rPr>
        <w:t>. 其他情况的终止合同</w:t>
      </w:r>
    </w:p>
    <w:p w14:paraId="3958EC79">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3</w:t>
      </w:r>
      <w:r>
        <w:rPr>
          <w:rFonts w:ascii="Times New Roman" w:hAnsi="Times New Roman" w:eastAsia="宋体" w:cs="Times New Roman"/>
          <w:color w:val="auto"/>
          <w:szCs w:val="21"/>
          <w:highlight w:val="none"/>
        </w:rPr>
        <w:t>.1 乙方在执行合同的过程中发生重大事故或变故，对履行合同有直接影响的，甲方可以提出终止合同而不给予乙方任何补偿。</w:t>
      </w:r>
    </w:p>
    <w:p w14:paraId="6457C78D">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3</w:t>
      </w:r>
      <w:r>
        <w:rPr>
          <w:rFonts w:ascii="Times New Roman" w:hAnsi="Times New Roman" w:eastAsia="宋体" w:cs="Times New Roman"/>
          <w:color w:val="auto"/>
          <w:szCs w:val="21"/>
          <w:highlight w:val="none"/>
        </w:rPr>
        <w:t>.2 在合同履行期限内，由于甲方工作计划调整，推广使用新应用系统导致本项目相关服务或货物停止的，甲方可以提出终止合同而不给予乙方任何补偿。</w:t>
      </w:r>
    </w:p>
    <w:p w14:paraId="2EDA9B22">
      <w:pPr>
        <w:tabs>
          <w:tab w:val="left" w:pos="700"/>
        </w:tabs>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cs="Times New Roman"/>
          <w:b/>
          <w:color w:val="auto"/>
          <w:szCs w:val="21"/>
          <w:highlight w:val="none"/>
          <w:lang w:val="en-US" w:eastAsia="zh-CN"/>
        </w:rPr>
        <w:t>4</w:t>
      </w:r>
      <w:r>
        <w:rPr>
          <w:rFonts w:ascii="Times New Roman" w:hAnsi="Times New Roman" w:eastAsia="宋体" w:cs="Times New Roman"/>
          <w:b/>
          <w:color w:val="auto"/>
          <w:szCs w:val="21"/>
          <w:highlight w:val="none"/>
        </w:rPr>
        <w:t>. 合同修改或变更</w:t>
      </w:r>
    </w:p>
    <w:p w14:paraId="6F16B860">
      <w:pPr>
        <w:spacing w:line="360" w:lineRule="auto"/>
        <w:ind w:firstLine="482"/>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4</w:t>
      </w:r>
      <w:r>
        <w:rPr>
          <w:rFonts w:ascii="Times New Roman" w:hAnsi="Times New Roman" w:eastAsia="宋体" w:cs="Times New Roman"/>
          <w:color w:val="auto"/>
          <w:szCs w:val="21"/>
          <w:highlight w:val="none"/>
        </w:rPr>
        <w:t>.1 合同如有未尽事宜，须经甲乙双方共同协商，做出补充约定，并签订书面补充合同或变更协议。补充合同或变更协议作为本合同的一部分，与本合同具有同等效力。</w:t>
      </w:r>
    </w:p>
    <w:p w14:paraId="3CAA3D5A">
      <w:pPr>
        <w:topLinePunct/>
        <w:autoSpaceDE w:val="0"/>
        <w:autoSpaceDN w:val="0"/>
        <w:spacing w:line="360" w:lineRule="auto"/>
        <w:ind w:firstLine="420" w:firstLineChars="200"/>
        <w:rPr>
          <w:rFonts w:ascii="Times New Roman" w:hAnsi="Times New Roman" w:eastAsia="宋体" w:cs="Times New Roman"/>
          <w:b/>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4</w:t>
      </w:r>
      <w:r>
        <w:rPr>
          <w:rFonts w:ascii="Times New Roman" w:hAnsi="Times New Roman" w:eastAsia="宋体" w:cs="Times New Roman"/>
          <w:color w:val="auto"/>
          <w:szCs w:val="21"/>
          <w:highlight w:val="none"/>
        </w:rPr>
        <w:t>.2 除了双方签署书面修改或变更协议，并成为本合同不可分割的一部分的情况之外，本合同的条款不得有任何变化或修改。</w:t>
      </w:r>
    </w:p>
    <w:p w14:paraId="57E93659">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4</w:t>
      </w:r>
      <w:r>
        <w:rPr>
          <w:rFonts w:ascii="Times New Roman" w:hAnsi="Times New Roman" w:eastAsia="宋体" w:cs="Times New Roman"/>
          <w:color w:val="auto"/>
          <w:szCs w:val="21"/>
          <w:highlight w:val="none"/>
        </w:rPr>
        <w:t>.3 由于采购人项目统一规划等原因导致本项目合同停止履行部分内容，甲方将启动合同变更程序，与乙方协商变更相关合同条款。</w:t>
      </w:r>
    </w:p>
    <w:p w14:paraId="4854A02B">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cs="Times New Roman"/>
          <w:b/>
          <w:color w:val="auto"/>
          <w:szCs w:val="21"/>
          <w:highlight w:val="none"/>
          <w:lang w:val="en-US" w:eastAsia="zh-CN"/>
        </w:rPr>
        <w:t>5</w:t>
      </w:r>
      <w:r>
        <w:rPr>
          <w:rFonts w:ascii="Times New Roman" w:hAnsi="Times New Roman" w:eastAsia="宋体" w:cs="Times New Roman"/>
          <w:b/>
          <w:color w:val="auto"/>
          <w:szCs w:val="21"/>
          <w:highlight w:val="none"/>
        </w:rPr>
        <w:t>. 转让和分包</w:t>
      </w:r>
    </w:p>
    <w:p w14:paraId="7A6DDC25">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5</w:t>
      </w:r>
      <w:r>
        <w:rPr>
          <w:rFonts w:ascii="Times New Roman" w:hAnsi="Times New Roman" w:eastAsia="宋体" w:cs="Times New Roman"/>
          <w:color w:val="auto"/>
          <w:szCs w:val="21"/>
          <w:highlight w:val="none"/>
        </w:rPr>
        <w:t>.1 除甲方事先书面同意外，乙方不得部分转让或全部转让其应履行的合同义务。</w:t>
      </w:r>
    </w:p>
    <w:p w14:paraId="6BB8A311">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5</w:t>
      </w:r>
      <w:r>
        <w:rPr>
          <w:rFonts w:ascii="Times New Roman" w:hAnsi="Times New Roman" w:eastAsia="宋体" w:cs="Times New Roman"/>
          <w:color w:val="auto"/>
          <w:szCs w:val="21"/>
          <w:highlight w:val="none"/>
        </w:rPr>
        <w:t>.2 未经甲方同意，乙方不得采取分包方式履行合同。经甲方同意分包履行合同的，乙方就采购项目及分包项目向甲方负责，分包供应商就分包项目承担责任。</w:t>
      </w:r>
    </w:p>
    <w:p w14:paraId="07303D4A">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cs="Times New Roman"/>
          <w:b/>
          <w:color w:val="auto"/>
          <w:szCs w:val="21"/>
          <w:highlight w:val="none"/>
          <w:lang w:val="en-US" w:eastAsia="zh-CN"/>
        </w:rPr>
        <w:t>6</w:t>
      </w:r>
      <w:r>
        <w:rPr>
          <w:rFonts w:ascii="Times New Roman" w:hAnsi="Times New Roman" w:eastAsia="宋体" w:cs="Times New Roman"/>
          <w:b/>
          <w:color w:val="auto"/>
          <w:szCs w:val="21"/>
          <w:highlight w:val="none"/>
        </w:rPr>
        <w:t>. 合同语言</w:t>
      </w:r>
    </w:p>
    <w:p w14:paraId="2FCF2CA5">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6</w:t>
      </w:r>
      <w:r>
        <w:rPr>
          <w:rFonts w:ascii="Times New Roman" w:hAnsi="Times New Roman" w:eastAsia="宋体" w:cs="Times New Roman"/>
          <w:color w:val="auto"/>
          <w:szCs w:val="21"/>
          <w:highlight w:val="none"/>
        </w:rPr>
        <w:t>.1 本合同语言为中文。</w:t>
      </w:r>
    </w:p>
    <w:p w14:paraId="318328E4">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6</w:t>
      </w:r>
      <w:r>
        <w:rPr>
          <w:rFonts w:ascii="Times New Roman" w:hAnsi="Times New Roman" w:eastAsia="宋体" w:cs="Times New Roman"/>
          <w:color w:val="auto"/>
          <w:szCs w:val="21"/>
          <w:highlight w:val="none"/>
        </w:rPr>
        <w:t>.2 双方交换的与合同有关的信件和其他文件应用合同语言书写。</w:t>
      </w:r>
    </w:p>
    <w:p w14:paraId="44A7EE0D">
      <w:pPr>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cs="Times New Roman"/>
          <w:b/>
          <w:color w:val="auto"/>
          <w:szCs w:val="21"/>
          <w:highlight w:val="none"/>
          <w:lang w:val="en-US" w:eastAsia="zh-CN"/>
        </w:rPr>
        <w:t>7</w:t>
      </w:r>
      <w:r>
        <w:rPr>
          <w:rFonts w:ascii="Times New Roman" w:hAnsi="Times New Roman" w:eastAsia="宋体" w:cs="Times New Roman"/>
          <w:b/>
          <w:color w:val="auto"/>
          <w:szCs w:val="21"/>
          <w:highlight w:val="none"/>
        </w:rPr>
        <w:t>. 适用法律</w:t>
      </w:r>
    </w:p>
    <w:p w14:paraId="40B36816">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7</w:t>
      </w:r>
      <w:r>
        <w:rPr>
          <w:rFonts w:ascii="Times New Roman" w:hAnsi="Times New Roman" w:eastAsia="宋体" w:cs="Times New Roman"/>
          <w:color w:val="auto"/>
          <w:szCs w:val="21"/>
          <w:highlight w:val="none"/>
        </w:rPr>
        <w:t>.1 本合同按照中华人民共和国现行法律进行解释。</w:t>
      </w:r>
    </w:p>
    <w:p w14:paraId="0AF1947F">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7</w:t>
      </w:r>
      <w:r>
        <w:rPr>
          <w:rFonts w:ascii="Times New Roman" w:hAnsi="Times New Roman" w:eastAsia="宋体" w:cs="Times New Roman"/>
          <w:color w:val="auto"/>
          <w:szCs w:val="21"/>
          <w:highlight w:val="none"/>
        </w:rPr>
        <w:t>.2 本合同的履行、违约责任和解决争议的方法等适用《中华人民共和国民法典（合同编）》。</w:t>
      </w:r>
    </w:p>
    <w:p w14:paraId="4FCD437B">
      <w:pPr>
        <w:topLinePunct/>
        <w:autoSpaceDE w:val="0"/>
        <w:autoSpaceDN w:val="0"/>
        <w:spacing w:line="360" w:lineRule="auto"/>
        <w:ind w:firstLine="422" w:firstLineChars="20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1</w:t>
      </w:r>
      <w:r>
        <w:rPr>
          <w:rFonts w:hint="eastAsia" w:ascii="Times New Roman" w:hAnsi="Times New Roman" w:cs="Times New Roman"/>
          <w:b/>
          <w:color w:val="auto"/>
          <w:szCs w:val="21"/>
          <w:highlight w:val="none"/>
          <w:lang w:val="en-US" w:eastAsia="zh-CN"/>
        </w:rPr>
        <w:t>8</w:t>
      </w:r>
      <w:r>
        <w:rPr>
          <w:rFonts w:ascii="Times New Roman" w:hAnsi="Times New Roman" w:eastAsia="宋体" w:cs="Times New Roman"/>
          <w:b/>
          <w:color w:val="auto"/>
          <w:szCs w:val="21"/>
          <w:highlight w:val="none"/>
        </w:rPr>
        <w:t>. 税费</w:t>
      </w:r>
    </w:p>
    <w:p w14:paraId="52C48C08">
      <w:pPr>
        <w:topLinePunct/>
        <w:autoSpaceDE w:val="0"/>
        <w:autoSpaceDN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w:t>
      </w:r>
      <w:r>
        <w:rPr>
          <w:rFonts w:hint="eastAsia" w:ascii="Times New Roman" w:hAnsi="Times New Roman" w:cs="Times New Roman"/>
          <w:color w:val="auto"/>
          <w:szCs w:val="21"/>
          <w:highlight w:val="none"/>
          <w:lang w:val="en-US" w:eastAsia="zh-CN"/>
        </w:rPr>
        <w:t>8</w:t>
      </w:r>
      <w:r>
        <w:rPr>
          <w:rFonts w:ascii="Times New Roman" w:hAnsi="Times New Roman" w:eastAsia="宋体" w:cs="Times New Roman"/>
          <w:color w:val="auto"/>
          <w:szCs w:val="21"/>
          <w:highlight w:val="none"/>
        </w:rPr>
        <w:t>.1 合同服务的所有税费均已包含于合同价中，甲方不再另行支付。</w:t>
      </w:r>
    </w:p>
    <w:p w14:paraId="545BC9A1">
      <w:pPr>
        <w:tabs>
          <w:tab w:val="left" w:pos="700"/>
        </w:tabs>
        <w:spacing w:line="360" w:lineRule="auto"/>
        <w:ind w:firstLine="422" w:firstLineChars="200"/>
        <w:rPr>
          <w:rFonts w:ascii="Times New Roman" w:hAnsi="Times New Roman" w:eastAsia="宋体" w:cs="Times New Roman"/>
          <w:b/>
          <w:color w:val="auto"/>
          <w:szCs w:val="21"/>
          <w:highlight w:val="none"/>
        </w:rPr>
      </w:pPr>
      <w:r>
        <w:rPr>
          <w:rFonts w:hint="eastAsia" w:ascii="Times New Roman" w:hAnsi="Times New Roman" w:cs="Times New Roman"/>
          <w:b/>
          <w:color w:val="auto"/>
          <w:szCs w:val="21"/>
          <w:highlight w:val="none"/>
          <w:lang w:val="en-US" w:eastAsia="zh-CN"/>
        </w:rPr>
        <w:t>19</w:t>
      </w:r>
      <w:r>
        <w:rPr>
          <w:rFonts w:ascii="Times New Roman" w:hAnsi="Times New Roman" w:eastAsia="宋体" w:cs="Times New Roman"/>
          <w:b/>
          <w:color w:val="auto"/>
          <w:szCs w:val="21"/>
          <w:highlight w:val="none"/>
        </w:rPr>
        <w:t>. 合同生效</w:t>
      </w:r>
    </w:p>
    <w:p w14:paraId="23B035A0">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Times New Roman" w:hAnsi="Times New Roman" w:cs="Times New Roman"/>
          <w:color w:val="auto"/>
          <w:szCs w:val="21"/>
          <w:highlight w:val="none"/>
          <w:lang w:val="en-US" w:eastAsia="zh-CN"/>
        </w:rPr>
        <w:t>19</w:t>
      </w:r>
      <w:r>
        <w:rPr>
          <w:rFonts w:ascii="Times New Roman" w:hAnsi="Times New Roman" w:eastAsia="宋体" w:cs="Times New Roman"/>
          <w:color w:val="auto"/>
          <w:szCs w:val="21"/>
          <w:highlight w:val="none"/>
        </w:rPr>
        <w:t>.1 本合同一式</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u w:val="single"/>
        </w:rPr>
        <w:t>七</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份，由甲乙双方法定代表人或被授权人签字并盖章后生效。</w:t>
      </w:r>
    </w:p>
    <w:p w14:paraId="469A192C">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p>
    <w:p w14:paraId="58387409">
      <w:pPr>
        <w:keepNext w:val="0"/>
        <w:keepLines w:val="0"/>
        <w:pageBreakBefore w:val="0"/>
        <w:widowControl w:val="0"/>
        <w:kinsoku/>
        <w:wordWrap/>
        <w:overflowPunct/>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p>
    <w:p w14:paraId="095CAE08">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14:paraId="5496B21F">
      <w:pPr>
        <w:ind w:firstLine="480" w:firstLineChars="200"/>
        <w:rPr>
          <w:rFonts w:hint="eastAsia" w:ascii="宋体" w:hAnsi="宋体" w:eastAsia="宋体" w:cs="宋体"/>
          <w:color w:val="auto"/>
          <w:sz w:val="24"/>
          <w:highlight w:val="none"/>
          <w:lang w:eastAsia="zh-CN"/>
        </w:rPr>
      </w:pPr>
    </w:p>
    <w:p w14:paraId="7B0929B8">
      <w:pPr>
        <w:keepNext w:val="0"/>
        <w:keepLines w:val="0"/>
        <w:pageBreakBefore w:val="0"/>
        <w:widowControl w:val="0"/>
        <w:kinsoku/>
        <w:wordWrap/>
        <w:overflowPunct/>
        <w:topLinePunct/>
        <w:autoSpaceDE w:val="0"/>
        <w:autoSpaceDN w:val="0"/>
        <w:bidi w:val="0"/>
        <w:adjustRightInd/>
        <w:snapToGrid/>
        <w:spacing w:line="360" w:lineRule="auto"/>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lang w:val="en-US" w:eastAsia="zh-CN"/>
        </w:rPr>
        <w:t xml:space="preserve">   磋商文件及响应文件</w:t>
      </w:r>
      <w:r>
        <w:rPr>
          <w:rFonts w:hint="eastAsia" w:ascii="宋体" w:hAnsi="宋体" w:eastAsia="宋体" w:cs="宋体"/>
          <w:b/>
          <w:color w:val="auto"/>
          <w:sz w:val="24"/>
          <w:highlight w:val="none"/>
          <w:lang w:eastAsia="zh-CN"/>
        </w:rPr>
        <w:t>（如需要，可另附）</w:t>
      </w:r>
    </w:p>
    <w:p w14:paraId="5A9EDF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lang w:val="en-US" w:eastAsia="zh-CN"/>
        </w:rPr>
        <w:t xml:space="preserve">   最后</w:t>
      </w:r>
      <w:r>
        <w:rPr>
          <w:rFonts w:hint="eastAsia" w:ascii="宋体" w:hAnsi="宋体" w:eastAsia="宋体" w:cs="宋体"/>
          <w:b/>
          <w:color w:val="auto"/>
          <w:sz w:val="24"/>
          <w:highlight w:val="none"/>
          <w:lang w:eastAsia="zh-CN"/>
        </w:rPr>
        <w:t>报价表</w:t>
      </w:r>
    </w:p>
    <w:p w14:paraId="695D3DEC">
      <w:pPr>
        <w:pStyle w:val="2"/>
        <w:rPr>
          <w:rFonts w:hint="eastAsia"/>
          <w:color w:val="auto"/>
          <w:highlight w:val="none"/>
          <w:lang w:eastAsia="zh-CN"/>
        </w:rPr>
      </w:pPr>
    </w:p>
    <w:p w14:paraId="3BCD94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highlight w:val="none"/>
        </w:rPr>
      </w:pPr>
    </w:p>
    <w:p w14:paraId="5C109C34">
      <w:pPr>
        <w:rPr>
          <w:rFonts w:hint="eastAsia" w:ascii="宋体" w:hAnsi="宋体" w:eastAsia="宋体" w:cs="宋体"/>
          <w:color w:val="auto"/>
          <w:highlight w:val="none"/>
        </w:rPr>
      </w:pPr>
    </w:p>
    <w:p w14:paraId="129B8A02">
      <w:pPr>
        <w:pStyle w:val="21"/>
        <w:rPr>
          <w:rFonts w:hint="eastAsia" w:ascii="宋体" w:hAnsi="宋体" w:eastAsia="宋体" w:cs="宋体"/>
          <w:color w:val="auto"/>
          <w:highlight w:val="none"/>
        </w:rPr>
      </w:pPr>
    </w:p>
    <w:p w14:paraId="3205C803">
      <w:pPr>
        <w:pStyle w:val="22"/>
        <w:rPr>
          <w:rFonts w:hint="eastAsia" w:ascii="宋体" w:hAnsi="宋体" w:eastAsia="宋体" w:cs="宋体"/>
          <w:color w:val="auto"/>
          <w:highlight w:val="none"/>
        </w:rPr>
      </w:pPr>
    </w:p>
    <w:p w14:paraId="5061B97F">
      <w:pPr>
        <w:pStyle w:val="22"/>
        <w:rPr>
          <w:rFonts w:hint="eastAsia" w:ascii="宋体" w:hAnsi="宋体" w:eastAsia="宋体" w:cs="宋体"/>
          <w:color w:val="auto"/>
          <w:highlight w:val="none"/>
        </w:rPr>
      </w:pPr>
    </w:p>
    <w:p w14:paraId="3633F216">
      <w:pPr>
        <w:pStyle w:val="22"/>
        <w:rPr>
          <w:rFonts w:hint="eastAsia" w:ascii="宋体" w:hAnsi="宋体" w:eastAsia="宋体" w:cs="宋体"/>
          <w:color w:val="auto"/>
          <w:highlight w:val="none"/>
        </w:rPr>
      </w:pPr>
    </w:p>
    <w:p w14:paraId="6D9183B2">
      <w:pPr>
        <w:pStyle w:val="22"/>
        <w:rPr>
          <w:rFonts w:hint="eastAsia" w:ascii="宋体" w:hAnsi="宋体" w:eastAsia="宋体" w:cs="宋体"/>
          <w:color w:val="auto"/>
          <w:highlight w:val="none"/>
        </w:rPr>
      </w:pPr>
    </w:p>
    <w:p w14:paraId="5CE3C15D">
      <w:pPr>
        <w:pStyle w:val="22"/>
        <w:rPr>
          <w:rFonts w:hint="eastAsia" w:ascii="宋体" w:hAnsi="宋体" w:eastAsia="宋体" w:cs="宋体"/>
          <w:color w:val="auto"/>
          <w:highlight w:val="none"/>
        </w:rPr>
      </w:pPr>
    </w:p>
    <w:p w14:paraId="09706309">
      <w:pPr>
        <w:pStyle w:val="22"/>
        <w:rPr>
          <w:rFonts w:hint="eastAsia" w:ascii="宋体" w:hAnsi="宋体" w:eastAsia="宋体" w:cs="宋体"/>
          <w:color w:val="auto"/>
          <w:highlight w:val="none"/>
        </w:rPr>
      </w:pPr>
    </w:p>
    <w:p w14:paraId="66259C25">
      <w:pPr>
        <w:pStyle w:val="22"/>
        <w:rPr>
          <w:rFonts w:hint="eastAsia" w:ascii="宋体" w:hAnsi="宋体" w:eastAsia="宋体" w:cs="宋体"/>
          <w:color w:val="auto"/>
          <w:highlight w:val="none"/>
        </w:rPr>
      </w:pPr>
    </w:p>
    <w:p w14:paraId="5A87D3F4">
      <w:pPr>
        <w:pStyle w:val="22"/>
        <w:rPr>
          <w:rFonts w:hint="eastAsia" w:ascii="宋体" w:hAnsi="宋体" w:eastAsia="宋体" w:cs="宋体"/>
          <w:color w:val="auto"/>
          <w:highlight w:val="none"/>
        </w:rPr>
      </w:pPr>
    </w:p>
    <w:p w14:paraId="7A6A0C45">
      <w:pPr>
        <w:pStyle w:val="22"/>
        <w:rPr>
          <w:rFonts w:hint="eastAsia" w:ascii="宋体" w:hAnsi="宋体" w:eastAsia="宋体" w:cs="宋体"/>
          <w:color w:val="auto"/>
          <w:highlight w:val="none"/>
        </w:rPr>
      </w:pPr>
    </w:p>
    <w:p w14:paraId="583EB3D4">
      <w:pPr>
        <w:pStyle w:val="22"/>
        <w:rPr>
          <w:rFonts w:hint="eastAsia" w:ascii="宋体" w:hAnsi="宋体" w:eastAsia="宋体" w:cs="宋体"/>
          <w:color w:val="auto"/>
          <w:highlight w:val="none"/>
        </w:rPr>
      </w:pPr>
    </w:p>
    <w:p w14:paraId="2E8D25DA">
      <w:pPr>
        <w:pStyle w:val="22"/>
        <w:rPr>
          <w:rFonts w:hint="eastAsia" w:ascii="宋体" w:hAnsi="宋体" w:eastAsia="宋体" w:cs="宋体"/>
          <w:color w:val="auto"/>
          <w:highlight w:val="none"/>
        </w:rPr>
      </w:pPr>
    </w:p>
    <w:p w14:paraId="116A7C85">
      <w:pPr>
        <w:pStyle w:val="22"/>
        <w:rPr>
          <w:rFonts w:hint="eastAsia" w:ascii="宋体" w:hAnsi="宋体" w:eastAsia="宋体" w:cs="宋体"/>
          <w:color w:val="auto"/>
          <w:highlight w:val="none"/>
        </w:rPr>
      </w:pPr>
    </w:p>
    <w:p w14:paraId="3EC95104">
      <w:pPr>
        <w:pStyle w:val="22"/>
        <w:rPr>
          <w:rFonts w:hint="eastAsia" w:ascii="宋体" w:hAnsi="宋体" w:eastAsia="宋体" w:cs="宋体"/>
          <w:color w:val="auto"/>
          <w:highlight w:val="none"/>
        </w:rPr>
      </w:pPr>
    </w:p>
    <w:p w14:paraId="75B23AFA">
      <w:pPr>
        <w:pStyle w:val="22"/>
        <w:rPr>
          <w:rFonts w:hint="eastAsia" w:ascii="宋体" w:hAnsi="宋体" w:eastAsia="宋体" w:cs="宋体"/>
          <w:color w:val="auto"/>
          <w:highlight w:val="none"/>
        </w:rPr>
      </w:pPr>
    </w:p>
    <w:p w14:paraId="7E163B4A">
      <w:pPr>
        <w:pStyle w:val="22"/>
        <w:rPr>
          <w:rFonts w:hint="eastAsia" w:ascii="宋体" w:hAnsi="宋体" w:eastAsia="宋体" w:cs="宋体"/>
          <w:color w:val="auto"/>
          <w:highlight w:val="none"/>
        </w:rPr>
      </w:pPr>
    </w:p>
    <w:p w14:paraId="54C21D1D">
      <w:pPr>
        <w:pStyle w:val="22"/>
        <w:rPr>
          <w:rFonts w:hint="eastAsia" w:ascii="宋体" w:hAnsi="宋体" w:eastAsia="宋体" w:cs="宋体"/>
          <w:color w:val="auto"/>
          <w:highlight w:val="none"/>
        </w:rPr>
      </w:pPr>
    </w:p>
    <w:p w14:paraId="29145AFD">
      <w:pPr>
        <w:pStyle w:val="22"/>
        <w:rPr>
          <w:rFonts w:hint="eastAsia" w:ascii="宋体" w:hAnsi="宋体" w:eastAsia="宋体" w:cs="宋体"/>
          <w:color w:val="auto"/>
          <w:highlight w:val="none"/>
        </w:rPr>
      </w:pPr>
    </w:p>
    <w:p w14:paraId="450B8CF2">
      <w:pPr>
        <w:pStyle w:val="22"/>
        <w:rPr>
          <w:rFonts w:hint="eastAsia" w:ascii="宋体" w:hAnsi="宋体" w:eastAsia="宋体" w:cs="宋体"/>
          <w:color w:val="auto"/>
          <w:highlight w:val="none"/>
        </w:rPr>
      </w:pPr>
    </w:p>
    <w:p w14:paraId="4AFAEC6A">
      <w:pPr>
        <w:pStyle w:val="22"/>
        <w:rPr>
          <w:rFonts w:hint="eastAsia" w:ascii="宋体" w:hAnsi="宋体" w:eastAsia="宋体" w:cs="宋体"/>
          <w:color w:val="auto"/>
          <w:highlight w:val="none"/>
        </w:rPr>
      </w:pPr>
    </w:p>
    <w:p w14:paraId="0FCAA5FB">
      <w:pPr>
        <w:pStyle w:val="22"/>
        <w:rPr>
          <w:rFonts w:hint="eastAsia" w:ascii="宋体" w:hAnsi="宋体" w:eastAsia="宋体" w:cs="宋体"/>
          <w:color w:val="auto"/>
          <w:highlight w:val="none"/>
        </w:rPr>
      </w:pPr>
    </w:p>
    <w:p w14:paraId="13B115F4">
      <w:pPr>
        <w:pStyle w:val="22"/>
        <w:rPr>
          <w:rFonts w:hint="eastAsia" w:ascii="宋体" w:hAnsi="宋体" w:eastAsia="宋体" w:cs="宋体"/>
          <w:color w:val="auto"/>
          <w:highlight w:val="none"/>
        </w:rPr>
      </w:pPr>
    </w:p>
    <w:p w14:paraId="54E37148">
      <w:pPr>
        <w:pStyle w:val="22"/>
        <w:rPr>
          <w:rFonts w:hint="eastAsia" w:ascii="宋体" w:hAnsi="宋体" w:eastAsia="宋体" w:cs="宋体"/>
          <w:color w:val="auto"/>
          <w:highlight w:val="none"/>
        </w:rPr>
      </w:pPr>
    </w:p>
    <w:p w14:paraId="03659DB7">
      <w:pPr>
        <w:pStyle w:val="22"/>
        <w:rPr>
          <w:rFonts w:hint="eastAsia" w:ascii="宋体" w:hAnsi="宋体" w:eastAsia="宋体" w:cs="宋体"/>
          <w:color w:val="auto"/>
          <w:highlight w:val="none"/>
        </w:rPr>
      </w:pPr>
    </w:p>
    <w:p w14:paraId="49C3B1B5">
      <w:pPr>
        <w:pStyle w:val="22"/>
        <w:rPr>
          <w:rFonts w:hint="eastAsia" w:ascii="宋体" w:hAnsi="宋体" w:eastAsia="宋体" w:cs="宋体"/>
          <w:color w:val="auto"/>
          <w:highlight w:val="none"/>
        </w:rPr>
      </w:pPr>
    </w:p>
    <w:p w14:paraId="16FC7A4C">
      <w:pPr>
        <w:pStyle w:val="22"/>
        <w:rPr>
          <w:rFonts w:hint="eastAsia" w:ascii="宋体" w:hAnsi="宋体" w:eastAsia="宋体" w:cs="宋体"/>
          <w:color w:val="auto"/>
          <w:highlight w:val="none"/>
        </w:rPr>
      </w:pPr>
    </w:p>
    <w:p w14:paraId="331FD6B9">
      <w:pPr>
        <w:pStyle w:val="10"/>
        <w:spacing w:line="360" w:lineRule="auto"/>
        <w:ind w:firstLine="480"/>
        <w:jc w:val="center"/>
        <w:rPr>
          <w:rFonts w:hint="eastAsia" w:ascii="宋体" w:hAnsi="宋体" w:eastAsia="宋体" w:cs="宋体"/>
          <w:b/>
          <w:color w:val="auto"/>
          <w:sz w:val="21"/>
          <w:szCs w:val="21"/>
          <w:highlight w:val="none"/>
        </w:rPr>
      </w:pPr>
    </w:p>
    <w:p w14:paraId="41C9FCE8">
      <w:pPr>
        <w:rPr>
          <w:rFonts w:hint="eastAsia" w:ascii="宋体" w:hAnsi="宋体" w:eastAsia="宋体" w:cs="宋体"/>
          <w:color w:val="auto"/>
          <w:highlight w:val="none"/>
        </w:rPr>
      </w:pPr>
    </w:p>
    <w:p w14:paraId="5A390C25">
      <w:pPr>
        <w:rPr>
          <w:rFonts w:hint="eastAsia" w:ascii="宋体" w:hAnsi="宋体" w:eastAsia="宋体" w:cs="宋体"/>
          <w:color w:val="auto"/>
          <w:highlight w:val="none"/>
        </w:rPr>
      </w:pPr>
    </w:p>
    <w:p w14:paraId="350D3C9F">
      <w:pPr>
        <w:pStyle w:val="22"/>
        <w:rPr>
          <w:rFonts w:hint="eastAsia" w:ascii="宋体" w:hAnsi="宋体" w:eastAsia="宋体" w:cs="宋体"/>
          <w:color w:val="auto"/>
          <w:highlight w:val="none"/>
        </w:rPr>
      </w:pPr>
    </w:p>
    <w:p w14:paraId="5ADF29DB">
      <w:pPr>
        <w:rPr>
          <w:rFonts w:hint="eastAsia" w:ascii="宋体" w:hAnsi="宋体" w:eastAsia="宋体" w:cs="宋体"/>
          <w:b/>
          <w:color w:val="auto"/>
          <w:sz w:val="24"/>
          <w:highlight w:val="none"/>
          <w:lang w:val="en-US" w:eastAsia="zh-CN"/>
        </w:rPr>
      </w:pPr>
    </w:p>
    <w:p w14:paraId="3DA2C589">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五  采购项目履约保证金返还申请（供参考）</w:t>
      </w:r>
    </w:p>
    <w:p w14:paraId="2C616F89">
      <w:pPr>
        <w:rPr>
          <w:rFonts w:hint="eastAsia" w:ascii="宋体" w:hAnsi="宋体" w:eastAsia="宋体" w:cs="宋体"/>
          <w:b/>
          <w:color w:val="auto"/>
          <w:sz w:val="24"/>
          <w:highlight w:val="none"/>
          <w:lang w:val="en-US" w:eastAsia="zh-CN"/>
        </w:rPr>
      </w:pPr>
    </w:p>
    <w:tbl>
      <w:tblPr>
        <w:tblStyle w:val="1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14:paraId="3ACF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vAlign w:val="center"/>
          </w:tcPr>
          <w:p w14:paraId="68F2B1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w:t>
            </w:r>
          </w:p>
          <w:p w14:paraId="2FFDD8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w:t>
            </w:r>
          </w:p>
          <w:p w14:paraId="0E7025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w:t>
            </w:r>
          </w:p>
          <w:p w14:paraId="000AF1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w:t>
            </w:r>
          </w:p>
          <w:p w14:paraId="2E5761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w:t>
            </w:r>
          </w:p>
        </w:tc>
        <w:tc>
          <w:tcPr>
            <w:tcW w:w="8206" w:type="dxa"/>
            <w:vAlign w:val="center"/>
          </w:tcPr>
          <w:p w14:paraId="30BAA1D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tc>
      </w:tr>
      <w:tr w14:paraId="41FD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vAlign w:val="center"/>
          </w:tcPr>
          <w:p w14:paraId="23CDCD7A">
            <w:pPr>
              <w:rPr>
                <w:rFonts w:hint="eastAsia" w:ascii="宋体" w:hAnsi="宋体" w:eastAsia="宋体" w:cs="宋体"/>
                <w:color w:val="auto"/>
                <w:sz w:val="21"/>
                <w:szCs w:val="21"/>
                <w:highlight w:val="none"/>
              </w:rPr>
            </w:pPr>
          </w:p>
        </w:tc>
        <w:tc>
          <w:tcPr>
            <w:tcW w:w="8206" w:type="dxa"/>
            <w:vAlign w:val="center"/>
          </w:tcPr>
          <w:p w14:paraId="26B0BE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r>
      <w:tr w14:paraId="292E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vAlign w:val="top"/>
          </w:tcPr>
          <w:p w14:paraId="2113FCB3">
            <w:pPr>
              <w:rPr>
                <w:rFonts w:hint="eastAsia" w:ascii="宋体" w:hAnsi="宋体" w:eastAsia="宋体" w:cs="宋体"/>
                <w:color w:val="auto"/>
                <w:sz w:val="21"/>
                <w:szCs w:val="21"/>
                <w:highlight w:val="none"/>
              </w:rPr>
            </w:pPr>
          </w:p>
        </w:tc>
        <w:tc>
          <w:tcPr>
            <w:tcW w:w="8206" w:type="dxa"/>
            <w:vAlign w:val="top"/>
          </w:tcPr>
          <w:p w14:paraId="71DBF67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F70D9EE">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该项目已于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日验收并交付使用。根据合同规定，该项目的履约保证金，期限于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日已满，请将履约保证金人民币（大写）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退付到达以</w:t>
            </w:r>
            <w:r>
              <w:rPr>
                <w:rFonts w:hint="eastAsia" w:ascii="宋体" w:hAnsi="宋体" w:eastAsia="宋体" w:cs="宋体"/>
                <w:color w:val="auto"/>
                <w:sz w:val="21"/>
                <w:szCs w:val="21"/>
                <w:highlight w:val="none"/>
                <w:lang w:eastAsia="zh-CN"/>
              </w:rPr>
              <w:t>下账</w:t>
            </w:r>
            <w:r>
              <w:rPr>
                <w:rFonts w:hint="eastAsia" w:ascii="宋体" w:hAnsi="宋体" w:eastAsia="宋体" w:cs="宋体"/>
                <w:color w:val="auto"/>
                <w:sz w:val="21"/>
                <w:szCs w:val="21"/>
                <w:highlight w:val="none"/>
              </w:rPr>
              <w:t>户。</w:t>
            </w:r>
          </w:p>
          <w:p w14:paraId="4FDEF266">
            <w:pPr>
              <w:spacing w:line="400" w:lineRule="exact"/>
              <w:ind w:firstLine="7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14:paraId="5F54E20A">
            <w:pPr>
              <w:spacing w:line="400" w:lineRule="exact"/>
              <w:ind w:firstLine="7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0AC6377E">
            <w:pPr>
              <w:spacing w:line="400" w:lineRule="exact"/>
              <w:ind w:firstLine="7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p>
          <w:p w14:paraId="5D92E6DE">
            <w:pPr>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w:t>
            </w:r>
          </w:p>
          <w:p w14:paraId="0B5F2D16">
            <w:pPr>
              <w:spacing w:line="400" w:lineRule="exact"/>
              <w:rPr>
                <w:rFonts w:hint="eastAsia" w:ascii="宋体" w:hAnsi="宋体" w:eastAsia="宋体" w:cs="宋体"/>
                <w:color w:val="auto"/>
                <w:sz w:val="21"/>
                <w:szCs w:val="21"/>
                <w:highlight w:val="none"/>
              </w:rPr>
            </w:pPr>
          </w:p>
          <w:p w14:paraId="31804B71">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供应商签章：</w:t>
            </w:r>
          </w:p>
          <w:p w14:paraId="6FDC937E">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558E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vAlign w:val="center"/>
          </w:tcPr>
          <w:p w14:paraId="2C9FF1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w:t>
            </w:r>
          </w:p>
          <w:p w14:paraId="2DB5D6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购</w:t>
            </w:r>
          </w:p>
          <w:p w14:paraId="4B3BB5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p w14:paraId="3D8320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w:t>
            </w:r>
          </w:p>
          <w:p w14:paraId="7DB02C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w:t>
            </w:r>
          </w:p>
        </w:tc>
        <w:tc>
          <w:tcPr>
            <w:tcW w:w="8206" w:type="dxa"/>
            <w:vAlign w:val="top"/>
          </w:tcPr>
          <w:p w14:paraId="73C94EC0">
            <w:pPr>
              <w:rPr>
                <w:rFonts w:hint="eastAsia" w:ascii="宋体" w:hAnsi="宋体" w:eastAsia="宋体" w:cs="宋体"/>
                <w:color w:val="auto"/>
                <w:sz w:val="21"/>
                <w:szCs w:val="21"/>
                <w:highlight w:val="none"/>
              </w:rPr>
            </w:pPr>
          </w:p>
          <w:p w14:paraId="39F74A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退付意见：（是否同意退付履约保证金及退付金额）</w:t>
            </w:r>
          </w:p>
          <w:p w14:paraId="7F2CA83C">
            <w:pPr>
              <w:rPr>
                <w:rFonts w:hint="eastAsia" w:ascii="宋体" w:hAnsi="宋体" w:eastAsia="宋体" w:cs="宋体"/>
                <w:color w:val="auto"/>
                <w:sz w:val="21"/>
                <w:szCs w:val="21"/>
                <w:highlight w:val="none"/>
              </w:rPr>
            </w:pPr>
          </w:p>
          <w:p w14:paraId="05DF9749">
            <w:pPr>
              <w:rPr>
                <w:rFonts w:hint="eastAsia" w:ascii="宋体" w:hAnsi="宋体" w:eastAsia="宋体" w:cs="宋体"/>
                <w:color w:val="auto"/>
                <w:sz w:val="21"/>
                <w:szCs w:val="21"/>
                <w:highlight w:val="none"/>
              </w:rPr>
            </w:pPr>
          </w:p>
          <w:p w14:paraId="13229399">
            <w:pPr>
              <w:rPr>
                <w:rFonts w:hint="eastAsia" w:ascii="宋体" w:hAnsi="宋体" w:eastAsia="宋体" w:cs="宋体"/>
                <w:color w:val="auto"/>
                <w:sz w:val="21"/>
                <w:szCs w:val="21"/>
                <w:highlight w:val="none"/>
              </w:rPr>
            </w:pPr>
          </w:p>
          <w:p w14:paraId="37F7C91C">
            <w:pPr>
              <w:rPr>
                <w:rFonts w:hint="eastAsia" w:ascii="宋体" w:hAnsi="宋体" w:eastAsia="宋体" w:cs="宋体"/>
                <w:color w:val="auto"/>
                <w:sz w:val="21"/>
                <w:szCs w:val="21"/>
                <w:highlight w:val="none"/>
              </w:rPr>
            </w:pPr>
          </w:p>
          <w:p w14:paraId="55E58DE0">
            <w:pPr>
              <w:rPr>
                <w:rFonts w:hint="eastAsia" w:ascii="宋体" w:hAnsi="宋体" w:eastAsia="宋体" w:cs="宋体"/>
                <w:color w:val="auto"/>
                <w:sz w:val="21"/>
                <w:szCs w:val="21"/>
                <w:highlight w:val="none"/>
              </w:rPr>
            </w:pPr>
          </w:p>
          <w:p w14:paraId="0F5C8442">
            <w:pPr>
              <w:rPr>
                <w:rFonts w:hint="eastAsia" w:ascii="宋体" w:hAnsi="宋体" w:eastAsia="宋体" w:cs="宋体"/>
                <w:color w:val="auto"/>
                <w:sz w:val="21"/>
                <w:szCs w:val="21"/>
                <w:highlight w:val="none"/>
              </w:rPr>
            </w:pPr>
          </w:p>
          <w:p w14:paraId="2A20F29E">
            <w:pPr>
              <w:rPr>
                <w:rFonts w:hint="eastAsia" w:ascii="宋体" w:hAnsi="宋体" w:eastAsia="宋体" w:cs="宋体"/>
                <w:color w:val="auto"/>
                <w:sz w:val="21"/>
                <w:szCs w:val="21"/>
                <w:highlight w:val="none"/>
              </w:rPr>
            </w:pPr>
          </w:p>
          <w:p w14:paraId="3CD18CC1">
            <w:pPr>
              <w:spacing w:line="5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联系人及电话：                         采购人签章</w:t>
            </w:r>
          </w:p>
          <w:p w14:paraId="0562F9D7">
            <w:pPr>
              <w:spacing w:line="5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2A3C5375">
            <w:pPr>
              <w:spacing w:line="520" w:lineRule="exact"/>
              <w:jc w:val="center"/>
              <w:rPr>
                <w:rFonts w:hint="eastAsia" w:ascii="宋体" w:hAnsi="宋体" w:eastAsia="宋体" w:cs="宋体"/>
                <w:color w:val="auto"/>
                <w:sz w:val="21"/>
                <w:szCs w:val="21"/>
                <w:highlight w:val="none"/>
              </w:rPr>
            </w:pPr>
          </w:p>
        </w:tc>
      </w:tr>
    </w:tbl>
    <w:p w14:paraId="73F09D16">
      <w:pPr>
        <w:pStyle w:val="10"/>
        <w:rPr>
          <w:rFonts w:hint="eastAsia" w:ascii="宋体" w:hAnsi="宋体" w:eastAsia="宋体" w:cs="宋体"/>
          <w:color w:val="auto"/>
          <w:sz w:val="28"/>
          <w:highlight w:val="none"/>
        </w:rPr>
      </w:pPr>
    </w:p>
    <w:p w14:paraId="6B474B4C">
      <w:pPr>
        <w:rPr>
          <w:rFonts w:hint="eastAsia" w:ascii="宋体" w:hAnsi="宋体" w:eastAsia="宋体" w:cs="宋体"/>
          <w:color w:val="auto"/>
          <w:highlight w:val="none"/>
        </w:rPr>
      </w:pPr>
    </w:p>
    <w:p w14:paraId="1BA8B29B">
      <w:pPr>
        <w:pStyle w:val="22"/>
        <w:rPr>
          <w:rFonts w:hint="eastAsia" w:ascii="宋体" w:hAnsi="宋体" w:eastAsia="宋体" w:cs="宋体"/>
          <w:color w:val="auto"/>
          <w:highlight w:val="none"/>
        </w:rPr>
        <w:sectPr>
          <w:pgSz w:w="11906" w:h="16838"/>
          <w:pgMar w:top="1440" w:right="1417" w:bottom="1440" w:left="1417" w:header="851" w:footer="992" w:gutter="0"/>
          <w:pgNumType w:fmt="decimal"/>
          <w:cols w:space="720" w:num="1"/>
          <w:titlePg/>
          <w:docGrid w:type="lines" w:linePitch="312" w:charSpace="0"/>
        </w:sectPr>
      </w:pPr>
    </w:p>
    <w:p w14:paraId="379321EC">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附件</w:t>
      </w:r>
      <w:r>
        <w:rPr>
          <w:rFonts w:hint="eastAsia" w:ascii="宋体" w:hAnsi="宋体" w:eastAsia="宋体" w:cs="宋体"/>
          <w:b/>
          <w:bCs w:val="0"/>
          <w:color w:val="auto"/>
          <w:sz w:val="21"/>
          <w:szCs w:val="21"/>
          <w:highlight w:val="none"/>
          <w:lang w:val="en-US" w:eastAsia="zh-CN"/>
        </w:rPr>
        <w:t>1</w:t>
      </w:r>
    </w:p>
    <w:p w14:paraId="2C4C9F53">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国家税务总局钦州市钦南区税务局食堂食材配送考核方案</w:t>
      </w:r>
    </w:p>
    <w:p w14:paraId="40C5DD8B">
      <w:pPr>
        <w:pStyle w:val="2"/>
        <w:keepNext w:val="0"/>
        <w:keepLines w:val="0"/>
        <w:pageBreakBefore w:val="0"/>
        <w:widowControl w:val="0"/>
        <w:kinsoku/>
        <w:wordWrap/>
        <w:overflowPunct/>
        <w:topLinePunct w:val="0"/>
        <w:bidi w:val="0"/>
        <w:snapToGrid/>
        <w:spacing w:line="440" w:lineRule="exact"/>
        <w:textAlignment w:val="auto"/>
        <w:rPr>
          <w:rFonts w:hint="eastAsia" w:ascii="方正小标宋简体" w:hAnsi="宋体" w:eastAsia="方正小标宋简体"/>
          <w:b/>
          <w:color w:val="auto"/>
          <w:sz w:val="44"/>
          <w:szCs w:val="44"/>
          <w:highlight w:val="none"/>
          <w:lang w:eastAsia="zh-CN"/>
        </w:rPr>
      </w:pPr>
    </w:p>
    <w:p w14:paraId="687DDC5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为进一步规范机关职工食堂管理，从源头上严格把控食材进货关，</w:t>
      </w:r>
      <w:r>
        <w:rPr>
          <w:rFonts w:hint="eastAsia" w:ascii="宋体" w:hAnsi="宋体" w:eastAsia="宋体" w:cs="宋体"/>
          <w:b w:val="0"/>
          <w:bCs w:val="0"/>
          <w:color w:val="auto"/>
          <w:sz w:val="21"/>
          <w:szCs w:val="21"/>
          <w:highlight w:val="none"/>
          <w:lang w:eastAsia="zh-CN"/>
        </w:rPr>
        <w:t>做实</w:t>
      </w:r>
      <w:r>
        <w:rPr>
          <w:rFonts w:hint="eastAsia" w:ascii="宋体" w:hAnsi="宋体" w:eastAsia="宋体" w:cs="宋体"/>
          <w:b w:val="0"/>
          <w:bCs w:val="0"/>
          <w:color w:val="auto"/>
          <w:sz w:val="21"/>
          <w:szCs w:val="21"/>
          <w:highlight w:val="none"/>
        </w:rPr>
        <w:t>食堂食品</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安全监管，降低饮食卫生质量安全风险，</w:t>
      </w:r>
      <w:r>
        <w:rPr>
          <w:rFonts w:hint="eastAsia" w:ascii="宋体" w:hAnsi="宋体" w:eastAsia="宋体" w:cs="宋体"/>
          <w:b w:val="0"/>
          <w:bCs w:val="0"/>
          <w:color w:val="auto"/>
          <w:sz w:val="21"/>
          <w:szCs w:val="21"/>
          <w:highlight w:val="none"/>
          <w:lang w:eastAsia="zh-CN"/>
        </w:rPr>
        <w:t>从而</w:t>
      </w:r>
      <w:r>
        <w:rPr>
          <w:rFonts w:hint="eastAsia" w:ascii="宋体" w:hAnsi="宋体" w:eastAsia="宋体" w:cs="宋体"/>
          <w:b w:val="0"/>
          <w:bCs w:val="0"/>
          <w:color w:val="auto"/>
          <w:sz w:val="21"/>
          <w:szCs w:val="21"/>
          <w:highlight w:val="none"/>
        </w:rPr>
        <w:t>提高干部职工工作餐饮食质量，</w:t>
      </w:r>
      <w:r>
        <w:rPr>
          <w:rFonts w:hint="eastAsia" w:ascii="宋体" w:hAnsi="宋体" w:eastAsia="宋体" w:cs="宋体"/>
          <w:color w:val="auto"/>
          <w:sz w:val="21"/>
          <w:szCs w:val="21"/>
          <w:highlight w:val="none"/>
        </w:rPr>
        <w:t>依据《</w:t>
      </w:r>
      <w:r>
        <w:rPr>
          <w:rFonts w:hint="eastAsia" w:ascii="宋体" w:hAnsi="宋体" w:eastAsia="宋体" w:cs="宋体"/>
          <w:color w:val="auto"/>
          <w:sz w:val="21"/>
          <w:szCs w:val="21"/>
          <w:highlight w:val="none"/>
          <w:lang w:eastAsia="zh-CN"/>
        </w:rPr>
        <w:t>国家税务总局钦州市钦南区税务局食堂食材配送</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合同》相关规定，制定以下考核方案。</w:t>
      </w:r>
    </w:p>
    <w:p w14:paraId="03014AE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一、考核对象</w:t>
      </w:r>
    </w:p>
    <w:p w14:paraId="39F11046">
      <w:pPr>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本方案考核方是指采购人，被考核方是指</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w:t>
      </w:r>
    </w:p>
    <w:p w14:paraId="2F59ECA1">
      <w:pPr>
        <w:pStyle w:val="23"/>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二、考核内容</w:t>
      </w:r>
    </w:p>
    <w:p w14:paraId="2C232B9C">
      <w:pPr>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（一）综合工作质量</w:t>
      </w:r>
    </w:p>
    <w:tbl>
      <w:tblPr>
        <w:tblStyle w:val="15"/>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270"/>
        <w:gridCol w:w="4395"/>
      </w:tblGrid>
      <w:tr w14:paraId="1D90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98" w:type="dxa"/>
            <w:vAlign w:val="center"/>
          </w:tcPr>
          <w:p w14:paraId="44EBC630">
            <w:pPr>
              <w:widowControl/>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考核项目</w:t>
            </w:r>
          </w:p>
        </w:tc>
        <w:tc>
          <w:tcPr>
            <w:tcW w:w="3270" w:type="dxa"/>
            <w:vAlign w:val="center"/>
          </w:tcPr>
          <w:p w14:paraId="420C5BBE">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考　核　内　容</w:t>
            </w:r>
          </w:p>
        </w:tc>
        <w:tc>
          <w:tcPr>
            <w:tcW w:w="4395" w:type="dxa"/>
          </w:tcPr>
          <w:p w14:paraId="3E4BED22">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检查结果运用</w:t>
            </w:r>
          </w:p>
        </w:tc>
      </w:tr>
      <w:tr w14:paraId="48BA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298" w:type="dxa"/>
            <w:vMerge w:val="restart"/>
            <w:vAlign w:val="center"/>
          </w:tcPr>
          <w:p w14:paraId="792E3CB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综合工作质量</w:t>
            </w:r>
          </w:p>
        </w:tc>
        <w:tc>
          <w:tcPr>
            <w:tcW w:w="3270" w:type="dxa"/>
            <w:vAlign w:val="center"/>
          </w:tcPr>
          <w:p w14:paraId="7FA10DD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每天在正常情况下配送食材</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特殊情况或临时有需要，则随叫随到，及时提供采购，并送达指定地点。</w:t>
            </w:r>
          </w:p>
        </w:tc>
        <w:tc>
          <w:tcPr>
            <w:tcW w:w="4395" w:type="dxa"/>
            <w:vAlign w:val="center"/>
          </w:tcPr>
          <w:p w14:paraId="4A45DDE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不按采购人</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按时配送食材</w:t>
            </w:r>
            <w:r>
              <w:rPr>
                <w:rFonts w:hint="eastAsia" w:ascii="宋体" w:hAnsi="宋体" w:eastAsia="宋体" w:cs="宋体"/>
                <w:color w:val="auto"/>
                <w:sz w:val="21"/>
                <w:szCs w:val="21"/>
                <w:highlight w:val="none"/>
              </w:rPr>
              <w:t>，每次扣款100元，</w:t>
            </w:r>
            <w:r>
              <w:rPr>
                <w:rFonts w:hint="eastAsia" w:ascii="宋体" w:hAnsi="宋体" w:eastAsia="宋体" w:cs="宋体"/>
                <w:color w:val="auto"/>
                <w:sz w:val="21"/>
                <w:szCs w:val="21"/>
                <w:highlight w:val="none"/>
                <w:lang w:eastAsia="zh-CN"/>
              </w:rPr>
              <w:t>不按时配送</w:t>
            </w:r>
            <w:r>
              <w:rPr>
                <w:rFonts w:hint="eastAsia" w:ascii="宋体" w:hAnsi="宋体" w:eastAsia="宋体" w:cs="宋体"/>
                <w:color w:val="auto"/>
                <w:sz w:val="21"/>
                <w:szCs w:val="21"/>
                <w:highlight w:val="none"/>
              </w:rPr>
              <w:t>连续超过</w:t>
            </w:r>
            <w:r>
              <w:rPr>
                <w:rFonts w:hint="eastAsia" w:ascii="宋体" w:hAnsi="宋体" w:eastAsia="宋体" w:cs="宋体"/>
                <w:color w:val="auto"/>
                <w:sz w:val="21"/>
                <w:szCs w:val="21"/>
                <w:highlight w:val="none"/>
                <w:lang w:val="en-US" w:eastAsia="zh-CN"/>
              </w:rPr>
              <w:t>3次</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从第4</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起每次扣款300元。</w:t>
            </w:r>
          </w:p>
        </w:tc>
      </w:tr>
      <w:tr w14:paraId="2B2C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298" w:type="dxa"/>
            <w:vMerge w:val="continue"/>
            <w:vAlign w:val="center"/>
          </w:tcPr>
          <w:p w14:paraId="7121FDD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c>
          <w:tcPr>
            <w:tcW w:w="3270" w:type="dxa"/>
            <w:vAlign w:val="center"/>
          </w:tcPr>
          <w:p w14:paraId="2CB3AA4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配送人员保持良好的个人卫生，穿戴清洁的工作</w:t>
            </w:r>
            <w:r>
              <w:rPr>
                <w:rFonts w:hint="eastAsia" w:ascii="宋体" w:hAnsi="宋体" w:eastAsia="宋体" w:cs="宋体"/>
                <w:color w:val="auto"/>
                <w:sz w:val="21"/>
                <w:szCs w:val="21"/>
                <w:highlight w:val="none"/>
                <w:lang w:eastAsia="zh-CN"/>
              </w:rPr>
              <w:t>服</w:t>
            </w:r>
            <w:r>
              <w:rPr>
                <w:rFonts w:hint="eastAsia" w:ascii="宋体" w:hAnsi="宋体" w:eastAsia="宋体" w:cs="宋体"/>
                <w:color w:val="auto"/>
                <w:sz w:val="21"/>
                <w:szCs w:val="21"/>
                <w:highlight w:val="none"/>
              </w:rPr>
              <w:t>，不留长指甲，不涂指甲油，保持手部清洁。</w:t>
            </w:r>
          </w:p>
        </w:tc>
        <w:tc>
          <w:tcPr>
            <w:tcW w:w="4395" w:type="dxa"/>
            <w:vAlign w:val="center"/>
          </w:tcPr>
          <w:p w14:paraId="317E18E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第一次扣款100元，第二次扣款200元，第三次扣款500元，三次扣款以后如再发生违反考核内容的，每次扣款1000元。</w:t>
            </w:r>
          </w:p>
        </w:tc>
      </w:tr>
      <w:tr w14:paraId="7ADE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98" w:type="dxa"/>
            <w:vMerge w:val="continue"/>
            <w:vAlign w:val="center"/>
          </w:tcPr>
          <w:p w14:paraId="7490111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c>
          <w:tcPr>
            <w:tcW w:w="3270" w:type="dxa"/>
            <w:vAlign w:val="center"/>
          </w:tcPr>
          <w:p w14:paraId="22BC4AF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配送人员</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持有健康证件</w:t>
            </w:r>
            <w:r>
              <w:rPr>
                <w:rFonts w:hint="eastAsia" w:ascii="宋体" w:hAnsi="宋体" w:eastAsia="宋体" w:cs="宋体"/>
                <w:color w:val="auto"/>
                <w:sz w:val="21"/>
                <w:szCs w:val="21"/>
                <w:highlight w:val="none"/>
                <w:lang w:eastAsia="zh-CN"/>
              </w:rPr>
              <w:t>。</w:t>
            </w:r>
          </w:p>
        </w:tc>
        <w:tc>
          <w:tcPr>
            <w:tcW w:w="4395" w:type="dxa"/>
            <w:vAlign w:val="center"/>
          </w:tcPr>
          <w:p w14:paraId="225F684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b w:val="0"/>
                <w:bCs w:val="0"/>
                <w:color w:val="auto"/>
                <w:spacing w:val="0"/>
                <w:kern w:val="2"/>
                <w:sz w:val="21"/>
                <w:szCs w:val="21"/>
                <w:highlight w:val="none"/>
                <w:vertAlign w:val="baseline"/>
                <w:lang w:val="en-US" w:eastAsia="zh-CN" w:bidi="ar-SA"/>
              </w:rPr>
              <w:t>从业人员未取得健康证的，一律不能上岗，发现配送人员无健康证，扣款500元。</w:t>
            </w:r>
          </w:p>
        </w:tc>
      </w:tr>
      <w:tr w14:paraId="386F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98" w:type="dxa"/>
            <w:vMerge w:val="continue"/>
            <w:vAlign w:val="center"/>
          </w:tcPr>
          <w:p w14:paraId="4D6C0D3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p>
        </w:tc>
        <w:tc>
          <w:tcPr>
            <w:tcW w:w="3270" w:type="dxa"/>
            <w:vAlign w:val="center"/>
          </w:tcPr>
          <w:p w14:paraId="4EDA875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人员在工作期间遇投诉，经采购人核实为有效投诉</w:t>
            </w:r>
            <w:r>
              <w:rPr>
                <w:rFonts w:hint="eastAsia" w:ascii="宋体" w:hAnsi="宋体" w:eastAsia="宋体" w:cs="宋体"/>
                <w:color w:val="auto"/>
                <w:sz w:val="21"/>
                <w:szCs w:val="21"/>
                <w:highlight w:val="none"/>
                <w:lang w:eastAsia="zh-CN"/>
              </w:rPr>
              <w:t>。</w:t>
            </w:r>
          </w:p>
        </w:tc>
        <w:tc>
          <w:tcPr>
            <w:tcW w:w="4395" w:type="dxa"/>
            <w:vAlign w:val="center"/>
          </w:tcPr>
          <w:p w14:paraId="00B0306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第一次扣款100元，第二次扣款200元，第三次扣款500元，三次扣款以后如再发生违反以上规定的，每次扣款1000元。</w:t>
            </w:r>
          </w:p>
        </w:tc>
      </w:tr>
      <w:tr w14:paraId="6FCB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298" w:type="dxa"/>
            <w:vMerge w:val="continue"/>
            <w:vAlign w:val="center"/>
          </w:tcPr>
          <w:p w14:paraId="3A9D5F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p>
        </w:tc>
        <w:tc>
          <w:tcPr>
            <w:tcW w:w="3270" w:type="dxa"/>
            <w:vAlign w:val="center"/>
          </w:tcPr>
          <w:p w14:paraId="76D8DA2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人员如有变动，需提前书面报采购人备案，并在</w:t>
            </w:r>
            <w:r>
              <w:rPr>
                <w:rFonts w:hint="eastAsia" w:ascii="宋体" w:hAnsi="宋体" w:eastAsia="宋体" w:cs="宋体"/>
                <w:color w:val="auto"/>
                <w:sz w:val="21"/>
                <w:szCs w:val="21"/>
                <w:highlight w:val="none"/>
                <w:lang w:eastAsia="zh-CN"/>
              </w:rPr>
              <w:t>原配送人员</w:t>
            </w:r>
            <w:r>
              <w:rPr>
                <w:rFonts w:hint="eastAsia" w:ascii="宋体" w:hAnsi="宋体" w:eastAsia="宋体" w:cs="宋体"/>
                <w:color w:val="auto"/>
                <w:sz w:val="21"/>
                <w:szCs w:val="21"/>
                <w:highlight w:val="none"/>
              </w:rPr>
              <w:t>离职前配备新员工到岗。</w:t>
            </w:r>
          </w:p>
        </w:tc>
        <w:tc>
          <w:tcPr>
            <w:tcW w:w="4395" w:type="dxa"/>
            <w:vAlign w:val="center"/>
          </w:tcPr>
          <w:p w14:paraId="41416ABC">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不提前通知采购人</w:t>
            </w:r>
            <w:r>
              <w:rPr>
                <w:rFonts w:hint="eastAsia" w:ascii="宋体" w:hAnsi="宋体" w:eastAsia="宋体" w:cs="宋体"/>
                <w:color w:val="auto"/>
                <w:sz w:val="21"/>
                <w:szCs w:val="21"/>
                <w:highlight w:val="none"/>
              </w:rPr>
              <w:t>每次扣款300元。</w:t>
            </w:r>
          </w:p>
        </w:tc>
      </w:tr>
      <w:tr w14:paraId="01BC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98" w:type="dxa"/>
            <w:vMerge w:val="continue"/>
            <w:vAlign w:val="center"/>
          </w:tcPr>
          <w:p w14:paraId="464976F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c>
          <w:tcPr>
            <w:tcW w:w="3270" w:type="dxa"/>
            <w:vAlign w:val="center"/>
          </w:tcPr>
          <w:p w14:paraId="28ABD0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员</w:t>
            </w:r>
            <w:r>
              <w:rPr>
                <w:rFonts w:hint="eastAsia" w:ascii="宋体" w:hAnsi="宋体" w:eastAsia="宋体" w:cs="宋体"/>
                <w:color w:val="auto"/>
                <w:sz w:val="21"/>
                <w:szCs w:val="21"/>
                <w:highlight w:val="none"/>
              </w:rPr>
              <w:t>工作失误造成不良后果的</w:t>
            </w:r>
          </w:p>
        </w:tc>
        <w:tc>
          <w:tcPr>
            <w:tcW w:w="4395" w:type="dxa"/>
            <w:vAlign w:val="center"/>
          </w:tcPr>
          <w:p w14:paraId="4EFE074E">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每次扣款1000元。</w:t>
            </w:r>
          </w:p>
        </w:tc>
      </w:tr>
      <w:tr w14:paraId="3430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98" w:type="dxa"/>
            <w:vMerge w:val="continue"/>
            <w:vAlign w:val="center"/>
          </w:tcPr>
          <w:p w14:paraId="48982CB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c>
          <w:tcPr>
            <w:tcW w:w="3270" w:type="dxa"/>
            <w:vAlign w:val="center"/>
          </w:tcPr>
          <w:p w14:paraId="6F9F072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原因发生事故，造成恶劣影响的</w:t>
            </w:r>
          </w:p>
        </w:tc>
        <w:tc>
          <w:tcPr>
            <w:tcW w:w="4395" w:type="dxa"/>
            <w:vAlign w:val="center"/>
          </w:tcPr>
          <w:p w14:paraId="11A92E32">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每次扣款5000元。</w:t>
            </w:r>
          </w:p>
        </w:tc>
      </w:tr>
      <w:tr w14:paraId="1AA1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98" w:type="dxa"/>
            <w:vAlign w:val="center"/>
          </w:tcPr>
          <w:p w14:paraId="128D888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食材质量</w:t>
            </w:r>
          </w:p>
        </w:tc>
        <w:tc>
          <w:tcPr>
            <w:tcW w:w="3270" w:type="dxa"/>
            <w:vAlign w:val="center"/>
          </w:tcPr>
          <w:p w14:paraId="46588A3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供应商应根据食材质量要求提供食材</w:t>
            </w:r>
          </w:p>
        </w:tc>
        <w:tc>
          <w:tcPr>
            <w:tcW w:w="4395" w:type="dxa"/>
            <w:vAlign w:val="center"/>
          </w:tcPr>
          <w:p w14:paraId="5EFE1329">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bl>
    <w:p w14:paraId="5FD0F5E9">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p>
    <w:p w14:paraId="2B4759C6">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三、考核方式</w:t>
      </w:r>
    </w:p>
    <w:p w14:paraId="7C6FA881">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（一）实行灵活期限检查考核</w:t>
      </w:r>
    </w:p>
    <w:p w14:paraId="25CB927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检查考核以《国家税务总局钦州市钦南区税务局食堂食材配送考核方案》为依据，采用灵活期限的检查考核方式，具体以定期和不定期相结合的检查形式对</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人进行考核。</w:t>
      </w:r>
    </w:p>
    <w:p w14:paraId="54D24A79">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定期检查：</w:t>
      </w:r>
      <w:r>
        <w:rPr>
          <w:rFonts w:hint="eastAsia" w:ascii="宋体" w:hAnsi="宋体" w:eastAsia="宋体" w:cs="宋体"/>
          <w:color w:val="auto"/>
          <w:sz w:val="21"/>
          <w:szCs w:val="21"/>
          <w:highlight w:val="none"/>
          <w:lang w:eastAsia="zh-CN"/>
        </w:rPr>
        <w:t>每季度进行一次，采购人和</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color w:val="auto"/>
          <w:sz w:val="21"/>
          <w:szCs w:val="21"/>
          <w:highlight w:val="none"/>
          <w:lang w:eastAsia="zh-CN"/>
        </w:rPr>
        <w:t>共同参与检查</w:t>
      </w:r>
      <w:r>
        <w:rPr>
          <w:rFonts w:hint="eastAsia" w:ascii="宋体" w:hAnsi="宋体" w:eastAsia="宋体" w:cs="宋体"/>
          <w:b w:val="0"/>
          <w:bCs w:val="0"/>
          <w:color w:val="auto"/>
          <w:sz w:val="21"/>
          <w:szCs w:val="21"/>
          <w:highlight w:val="none"/>
          <w:lang w:eastAsia="zh-CN"/>
        </w:rPr>
        <w:t>。</w:t>
      </w:r>
    </w:p>
    <w:p w14:paraId="36F872D9">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不定期</w:t>
      </w:r>
      <w:r>
        <w:rPr>
          <w:rFonts w:hint="eastAsia" w:ascii="宋体" w:hAnsi="宋体" w:eastAsia="宋体" w:cs="宋体"/>
          <w:color w:val="auto"/>
          <w:sz w:val="21"/>
          <w:szCs w:val="21"/>
          <w:highlight w:val="none"/>
          <w:lang w:eastAsia="zh-CN"/>
        </w:rPr>
        <w:t>检查：根据工作情况，随机、随时、随地开展检查，可不协同</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color w:val="auto"/>
          <w:sz w:val="21"/>
          <w:szCs w:val="21"/>
          <w:highlight w:val="none"/>
          <w:lang w:eastAsia="zh-CN"/>
        </w:rPr>
        <w:t>参与检查</w:t>
      </w:r>
      <w:r>
        <w:rPr>
          <w:rFonts w:hint="eastAsia" w:ascii="宋体" w:hAnsi="宋体" w:eastAsia="宋体" w:cs="宋体"/>
          <w:b w:val="0"/>
          <w:bCs w:val="0"/>
          <w:color w:val="auto"/>
          <w:sz w:val="21"/>
          <w:szCs w:val="21"/>
          <w:highlight w:val="none"/>
          <w:lang w:eastAsia="zh-CN"/>
        </w:rPr>
        <w:t>。</w:t>
      </w:r>
    </w:p>
    <w:p w14:paraId="4F29B2F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采购人在抽检考核时，不论定期或不定期检查，均以</w:t>
      </w:r>
      <w:r>
        <w:rPr>
          <w:rFonts w:hint="eastAsia" w:ascii="宋体" w:hAnsi="宋体" w:eastAsia="宋体" w:cs="宋体"/>
          <w:color w:val="auto"/>
          <w:sz w:val="21"/>
          <w:szCs w:val="21"/>
          <w:highlight w:val="none"/>
          <w:lang w:eastAsia="zh-CN"/>
        </w:rPr>
        <w:t>双方</w:t>
      </w:r>
      <w:r>
        <w:rPr>
          <w:rFonts w:hint="eastAsia" w:ascii="宋体" w:hAnsi="宋体" w:eastAsia="宋体" w:cs="宋体"/>
          <w:color w:val="auto"/>
          <w:sz w:val="21"/>
          <w:szCs w:val="21"/>
          <w:highlight w:val="none"/>
        </w:rPr>
        <w:t>签名的《</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服务质量考核记录表》（见附件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）为依据。考核结果由双方签字认可，</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color w:val="auto"/>
          <w:sz w:val="21"/>
          <w:szCs w:val="21"/>
          <w:highlight w:val="none"/>
        </w:rPr>
        <w:t>工作内容存在问题且未在采购人限期内改正的，按本方案</w:t>
      </w:r>
      <w:r>
        <w:rPr>
          <w:rFonts w:hint="eastAsia" w:ascii="宋体" w:hAnsi="宋体" w:eastAsia="宋体" w:cs="宋体"/>
          <w:color w:val="auto"/>
          <w:sz w:val="21"/>
          <w:szCs w:val="21"/>
          <w:highlight w:val="none"/>
          <w:lang w:eastAsia="zh-CN"/>
        </w:rPr>
        <w:t>结果运用</w:t>
      </w:r>
      <w:r>
        <w:rPr>
          <w:rFonts w:hint="eastAsia" w:ascii="宋体" w:hAnsi="宋体" w:eastAsia="宋体" w:cs="宋体"/>
          <w:color w:val="auto"/>
          <w:sz w:val="21"/>
          <w:szCs w:val="21"/>
          <w:highlight w:val="none"/>
        </w:rPr>
        <w:t>执行，于付款时扣款。</w:t>
      </w:r>
    </w:p>
    <w:p w14:paraId="5F20DE17">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（二）实行工作单式考核制度</w:t>
      </w:r>
    </w:p>
    <w:p w14:paraId="62D0C17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对临时性或特殊性工作安排，由</w:t>
      </w:r>
      <w:r>
        <w:rPr>
          <w:rFonts w:hint="eastAsia" w:ascii="宋体" w:hAnsi="宋体" w:eastAsia="宋体" w:cs="宋体"/>
          <w:color w:val="auto"/>
          <w:sz w:val="21"/>
          <w:szCs w:val="21"/>
          <w:highlight w:val="none"/>
          <w:lang w:eastAsia="zh-CN"/>
        </w:rPr>
        <w:t>采购人发送采购通知单</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配送时间、物品名称、物品数量、送货地点等，</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color w:val="auto"/>
          <w:sz w:val="21"/>
          <w:szCs w:val="21"/>
          <w:highlight w:val="none"/>
        </w:rPr>
        <w:t>必须在规定期限内完成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如不能按照要求和期限完成工作，必须</w:t>
      </w:r>
      <w:r>
        <w:rPr>
          <w:rFonts w:hint="eastAsia" w:ascii="宋体" w:hAnsi="宋体" w:eastAsia="宋体" w:cs="宋体"/>
          <w:color w:val="auto"/>
          <w:sz w:val="21"/>
          <w:szCs w:val="21"/>
          <w:highlight w:val="none"/>
          <w:lang w:eastAsia="zh-CN"/>
        </w:rPr>
        <w:t>提前书面说明</w:t>
      </w:r>
      <w:r>
        <w:rPr>
          <w:rFonts w:hint="eastAsia" w:ascii="宋体" w:hAnsi="宋体" w:eastAsia="宋体" w:cs="宋体"/>
          <w:color w:val="auto"/>
          <w:sz w:val="21"/>
          <w:szCs w:val="21"/>
          <w:highlight w:val="none"/>
        </w:rPr>
        <w:t>原因并</w:t>
      </w:r>
      <w:r>
        <w:rPr>
          <w:rFonts w:hint="eastAsia" w:ascii="宋体" w:hAnsi="宋体" w:eastAsia="宋体" w:cs="宋体"/>
          <w:color w:val="auto"/>
          <w:sz w:val="21"/>
          <w:szCs w:val="21"/>
          <w:highlight w:val="none"/>
          <w:lang w:eastAsia="zh-CN"/>
        </w:rPr>
        <w:t>在工作任务前</w:t>
      </w:r>
      <w:r>
        <w:rPr>
          <w:rFonts w:hint="eastAsia" w:ascii="宋体" w:hAnsi="宋体" w:eastAsia="宋体" w:cs="宋体"/>
          <w:color w:val="auto"/>
          <w:sz w:val="21"/>
          <w:szCs w:val="21"/>
          <w:highlight w:val="none"/>
          <w:lang w:val="en-US" w:eastAsia="zh-CN"/>
        </w:rPr>
        <w:t>3个小时向采购人</w:t>
      </w:r>
      <w:r>
        <w:rPr>
          <w:rFonts w:hint="eastAsia" w:ascii="宋体" w:hAnsi="宋体" w:eastAsia="宋体" w:cs="宋体"/>
          <w:color w:val="auto"/>
          <w:sz w:val="21"/>
          <w:szCs w:val="21"/>
          <w:highlight w:val="none"/>
        </w:rPr>
        <w:t>提交。</w:t>
      </w:r>
    </w:p>
    <w:p w14:paraId="0A915840">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01287DDD">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0495F369">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7A3913EF">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5517FE74">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46172E35">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42E40F9E">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2DE02A81">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702BD02B">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14BCAE30">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4BBB84F3">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3038EC74">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03E3E213">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05D076C3">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67C19541">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附件2</w:t>
      </w:r>
    </w:p>
    <w:p w14:paraId="5E64E0FE">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配送服务质量考核记录表</w:t>
      </w:r>
    </w:p>
    <w:tbl>
      <w:tblPr>
        <w:tblStyle w:val="16"/>
        <w:tblpPr w:leftFromText="180" w:rightFromText="180" w:vertAnchor="text" w:horzAnchor="page" w:tblpX="1455" w:tblpY="557"/>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60"/>
        <w:gridCol w:w="3008"/>
        <w:gridCol w:w="1867"/>
        <w:gridCol w:w="1806"/>
      </w:tblGrid>
      <w:tr w14:paraId="3F32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275" w:type="dxa"/>
            <w:gridSpan w:val="2"/>
            <w:vAlign w:val="center"/>
          </w:tcPr>
          <w:p w14:paraId="5F36B348">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检查项目</w:t>
            </w:r>
          </w:p>
        </w:tc>
        <w:tc>
          <w:tcPr>
            <w:tcW w:w="3008" w:type="dxa"/>
            <w:vAlign w:val="center"/>
          </w:tcPr>
          <w:p w14:paraId="40878BE7">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检查情况</w:t>
            </w:r>
          </w:p>
        </w:tc>
        <w:tc>
          <w:tcPr>
            <w:tcW w:w="1867" w:type="dxa"/>
            <w:vAlign w:val="center"/>
          </w:tcPr>
          <w:p w14:paraId="1B4FA303">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限期改正</w:t>
            </w:r>
          </w:p>
        </w:tc>
        <w:tc>
          <w:tcPr>
            <w:tcW w:w="1806" w:type="dxa"/>
            <w:vAlign w:val="center"/>
          </w:tcPr>
          <w:p w14:paraId="3901F610">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eastAsia="zh-CN"/>
              </w:rPr>
              <w:t>考核结果</w:t>
            </w:r>
          </w:p>
        </w:tc>
      </w:tr>
      <w:tr w14:paraId="4DC6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75" w:type="dxa"/>
            <w:gridSpan w:val="2"/>
            <w:vAlign w:val="center"/>
          </w:tcPr>
          <w:p w14:paraId="22676B70">
            <w:pPr>
              <w:widowControl w:val="0"/>
              <w:spacing w:line="50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综合工作质量</w:t>
            </w:r>
          </w:p>
        </w:tc>
        <w:tc>
          <w:tcPr>
            <w:tcW w:w="3008" w:type="dxa"/>
          </w:tcPr>
          <w:p w14:paraId="6407DCAC">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3D5310DD">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6634D14B">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5001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5" w:type="dxa"/>
            <w:vMerge w:val="restart"/>
            <w:vAlign w:val="center"/>
          </w:tcPr>
          <w:p w14:paraId="633E241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食材</w:t>
            </w:r>
            <w:r>
              <w:rPr>
                <w:rFonts w:hint="eastAsia" w:ascii="宋体" w:hAnsi="宋体" w:eastAsia="宋体" w:cs="宋体"/>
                <w:b w:val="0"/>
                <w:bCs/>
                <w:color w:val="auto"/>
                <w:sz w:val="21"/>
                <w:szCs w:val="21"/>
                <w:highlight w:val="none"/>
              </w:rPr>
              <w:t>质量</w:t>
            </w:r>
          </w:p>
          <w:p w14:paraId="440669E4">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4AB8067A">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粮油类</w:t>
            </w:r>
          </w:p>
        </w:tc>
        <w:tc>
          <w:tcPr>
            <w:tcW w:w="3008" w:type="dxa"/>
          </w:tcPr>
          <w:p w14:paraId="49448793">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516B915A">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2545E75F">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10BA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5" w:type="dxa"/>
            <w:vMerge w:val="continue"/>
            <w:vAlign w:val="center"/>
          </w:tcPr>
          <w:p w14:paraId="718EE532">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10F57522">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调味品、干货</w:t>
            </w:r>
          </w:p>
        </w:tc>
        <w:tc>
          <w:tcPr>
            <w:tcW w:w="3008" w:type="dxa"/>
          </w:tcPr>
          <w:p w14:paraId="6EA9C856">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0F84B515">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593C813F">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2B04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6FA2258D">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5F42338E">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鲜肉类</w:t>
            </w:r>
          </w:p>
        </w:tc>
        <w:tc>
          <w:tcPr>
            <w:tcW w:w="3008" w:type="dxa"/>
          </w:tcPr>
          <w:p w14:paraId="0D21A336">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04590994">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370C23A6">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186B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159819B1">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27F07035">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家禽类</w:t>
            </w:r>
          </w:p>
        </w:tc>
        <w:tc>
          <w:tcPr>
            <w:tcW w:w="3008" w:type="dxa"/>
          </w:tcPr>
          <w:p w14:paraId="40569B93">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535E7E04">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39B4D1D1">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1241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3F2B88A5">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7CB69952">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鲜活水产品</w:t>
            </w:r>
          </w:p>
        </w:tc>
        <w:tc>
          <w:tcPr>
            <w:tcW w:w="3008" w:type="dxa"/>
          </w:tcPr>
          <w:p w14:paraId="7D944333">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79107BC3">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3882BDD3">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3A3B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5997435C">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60882026">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新鲜蔬菜</w:t>
            </w:r>
          </w:p>
        </w:tc>
        <w:tc>
          <w:tcPr>
            <w:tcW w:w="3008" w:type="dxa"/>
          </w:tcPr>
          <w:p w14:paraId="62C65579">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465D71E3">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30CCCBD4">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3DFB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2FB8085B">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62875CA8">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新鲜水果</w:t>
            </w:r>
          </w:p>
        </w:tc>
        <w:tc>
          <w:tcPr>
            <w:tcW w:w="3008" w:type="dxa"/>
          </w:tcPr>
          <w:p w14:paraId="1D70D76F">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74EF6058">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2F700D6F">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141C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65C2993C">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118B55F8">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其他</w:t>
            </w:r>
          </w:p>
        </w:tc>
        <w:tc>
          <w:tcPr>
            <w:tcW w:w="3008" w:type="dxa"/>
          </w:tcPr>
          <w:p w14:paraId="1F7CFA16">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42925245">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2CC75D72">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bl>
    <w:p w14:paraId="53F30DBF">
      <w:pPr>
        <w:pStyle w:val="10"/>
        <w:keepNext w:val="0"/>
        <w:keepLines w:val="0"/>
        <w:pageBreakBefore w:val="0"/>
        <w:widowControl w:val="0"/>
        <w:kinsoku/>
        <w:wordWrap/>
        <w:overflowPunct/>
        <w:topLinePunct w:val="0"/>
        <w:bidi w:val="0"/>
        <w:snapToGrid/>
        <w:spacing w:line="560" w:lineRule="exact"/>
        <w:jc w:val="left"/>
        <w:textAlignment w:val="auto"/>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考核方代表（签字）：</w:t>
      </w:r>
    </w:p>
    <w:p w14:paraId="5B11E079">
      <w:pP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被考核方代表（签字）：</w:t>
      </w:r>
    </w:p>
    <w:p w14:paraId="009F8C73">
      <w:pPr>
        <w:rPr>
          <w:rFonts w:hint="eastAsia" w:ascii="宋体" w:hAnsi="宋体" w:eastAsia="宋体" w:cs="宋体"/>
          <w:b w:val="0"/>
          <w:bCs w:val="0"/>
          <w:color w:val="auto"/>
          <w:kern w:val="2"/>
          <w:sz w:val="18"/>
          <w:szCs w:val="18"/>
          <w:highlight w:val="none"/>
          <w:vertAlign w:val="baseline"/>
          <w:lang w:val="en-US" w:eastAsia="zh-CN" w:bidi="ar-SA"/>
        </w:rPr>
      </w:pPr>
    </w:p>
    <w:p w14:paraId="6CE41CA5">
      <w:pPr>
        <w:pStyle w:val="22"/>
        <w:rPr>
          <w:rFonts w:hint="eastAsia" w:ascii="宋体" w:hAnsi="宋体" w:eastAsia="宋体" w:cs="宋体"/>
          <w:color w:val="auto"/>
          <w:highlight w:val="none"/>
        </w:rPr>
        <w:sectPr>
          <w:pgSz w:w="11906" w:h="16838"/>
          <w:pgMar w:top="1440" w:right="1417" w:bottom="1440" w:left="1417" w:header="851" w:footer="992" w:gutter="0"/>
          <w:pgNumType w:fmt="decimal"/>
          <w:cols w:space="720" w:num="1"/>
          <w:titlePg/>
          <w:docGrid w:type="lines" w:linePitch="312" w:charSpace="0"/>
        </w:sectPr>
      </w:pPr>
    </w:p>
    <w:p w14:paraId="093FFD71">
      <w:pPr>
        <w:pStyle w:val="3"/>
        <w:bidi w:val="0"/>
        <w:jc w:val="center"/>
        <w:rPr>
          <w:rFonts w:hint="eastAsia" w:ascii="宋体" w:hAnsi="宋体" w:eastAsia="宋体" w:cs="宋体"/>
          <w:color w:val="auto"/>
          <w:sz w:val="30"/>
          <w:szCs w:val="30"/>
          <w:highlight w:val="none"/>
        </w:rPr>
      </w:pPr>
      <w:bookmarkStart w:id="33" w:name="_Toc2708"/>
      <w:r>
        <w:rPr>
          <w:rFonts w:hint="eastAsia" w:ascii="宋体" w:hAnsi="宋体" w:eastAsia="宋体" w:cs="宋体"/>
          <w:color w:val="auto"/>
          <w:sz w:val="30"/>
          <w:szCs w:val="30"/>
          <w:highlight w:val="none"/>
        </w:rPr>
        <w:t>第五章　响应文件格式</w:t>
      </w:r>
      <w:bookmarkEnd w:id="33"/>
    </w:p>
    <w:p w14:paraId="48860596">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供应商必须按下列文本格式，如实提供具有法律效力的资格证明文件和真实有效的其他文件资料，任何不按下列文本格式提供或有实质性变更将由供应商承担风险。</w:t>
      </w:r>
    </w:p>
    <w:p w14:paraId="7A79009F">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1.供应商应严格按照本章规定填写和提交全部格式文件以及其他有关资料，混乱</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编排导致响应文件被误读或查找不到，后果由供应商承担。</w:t>
      </w:r>
    </w:p>
    <w:p w14:paraId="468E19C5">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2.所附表格中要求回答的全部问题和信息都必须正面回答。</w:t>
      </w:r>
    </w:p>
    <w:p w14:paraId="4D749B58">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3.资格声明文件的签字人应保证全部声明和问题的回答是真实的和准确的。</w:t>
      </w:r>
    </w:p>
    <w:p w14:paraId="5636402C">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4.磋商小组将应用供应商提交的资料并根据自己的判断，决定供应商履行合同的合格性及能力。</w:t>
      </w:r>
    </w:p>
    <w:p w14:paraId="231B2027">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5.全部文件应按供应商须知中规定的语言提交。</w:t>
      </w:r>
    </w:p>
    <w:p w14:paraId="1AAAB241">
      <w:pPr>
        <w:keepNext w:val="0"/>
        <w:keepLines w:val="0"/>
        <w:pageBreakBefore w:val="0"/>
        <w:widowControl w:val="0"/>
        <w:kinsoku/>
        <w:wordWrap/>
        <w:overflowPunct/>
        <w:topLinePunct/>
        <w:autoSpaceDE w:val="0"/>
        <w:autoSpaceDN w:val="0"/>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6.以下格式文件为要求填写内容的固定格式，供应商不得擅自修改格式，其他未提供格式的文件和资料由供应商自行设计编制格式填写。</w:t>
      </w:r>
    </w:p>
    <w:p w14:paraId="062BC54F">
      <w:pPr>
        <w:adjustRightInd w:val="0"/>
        <w:snapToGrid w:val="0"/>
        <w:spacing w:beforeLines="20" w:after="4" w:line="360" w:lineRule="auto"/>
        <w:ind w:firstLine="422" w:firstLineChars="200"/>
        <w:jc w:val="center"/>
        <w:rPr>
          <w:rFonts w:hint="eastAsia" w:ascii="宋体" w:hAnsi="宋体" w:eastAsia="宋体" w:cs="宋体"/>
          <w:b/>
          <w:bCs/>
          <w:color w:val="auto"/>
          <w:highlight w:val="none"/>
        </w:rPr>
      </w:pPr>
    </w:p>
    <w:p w14:paraId="75177456">
      <w:pPr>
        <w:ind w:firstLine="422" w:firstLineChars="200"/>
        <w:jc w:val="center"/>
        <w:rPr>
          <w:rFonts w:hint="eastAsia" w:ascii="宋体" w:hAnsi="宋体" w:eastAsia="宋体" w:cs="宋体"/>
          <w:b/>
          <w:bCs/>
          <w:color w:val="auto"/>
          <w:highlight w:val="none"/>
        </w:rPr>
      </w:pPr>
    </w:p>
    <w:p w14:paraId="2697DB60">
      <w:pPr>
        <w:rPr>
          <w:rFonts w:hint="eastAsia" w:ascii="宋体" w:hAnsi="宋体" w:eastAsia="宋体" w:cs="宋体"/>
          <w:color w:val="auto"/>
          <w:highlight w:val="none"/>
        </w:rPr>
      </w:pPr>
    </w:p>
    <w:p w14:paraId="09D0B896">
      <w:pPr>
        <w:rPr>
          <w:rFonts w:hint="eastAsia" w:ascii="宋体" w:hAnsi="宋体" w:eastAsia="宋体" w:cs="宋体"/>
          <w:b/>
          <w:bCs/>
          <w:color w:val="auto"/>
          <w:highlight w:val="none"/>
        </w:rPr>
      </w:pPr>
    </w:p>
    <w:p w14:paraId="1551610E">
      <w:pPr>
        <w:adjustRightInd w:val="0"/>
        <w:snapToGrid w:val="0"/>
        <w:spacing w:after="0"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0BE4758E">
      <w:pPr>
        <w:spacing w:line="600" w:lineRule="auto"/>
        <w:jc w:val="center"/>
        <w:rPr>
          <w:rFonts w:hint="eastAsia" w:ascii="宋体" w:hAnsi="宋体" w:eastAsia="宋体" w:cs="宋体"/>
          <w:b/>
          <w:color w:val="auto"/>
          <w:kern w:val="0"/>
          <w:sz w:val="44"/>
          <w:szCs w:val="44"/>
          <w:highlight w:val="none"/>
        </w:rPr>
      </w:pPr>
    </w:p>
    <w:p w14:paraId="46B37646">
      <w:pPr>
        <w:pStyle w:val="2"/>
        <w:rPr>
          <w:rFonts w:hint="eastAsia" w:ascii="宋体" w:hAnsi="宋体" w:eastAsia="宋体" w:cs="宋体"/>
          <w:b/>
          <w:color w:val="auto"/>
          <w:kern w:val="0"/>
          <w:sz w:val="44"/>
          <w:szCs w:val="44"/>
          <w:highlight w:val="none"/>
        </w:rPr>
      </w:pPr>
    </w:p>
    <w:p w14:paraId="56A61B28">
      <w:pPr>
        <w:rPr>
          <w:rFonts w:hint="eastAsia" w:ascii="宋体" w:hAnsi="宋体" w:eastAsia="宋体" w:cs="宋体"/>
          <w:color w:val="auto"/>
          <w:highlight w:val="none"/>
        </w:rPr>
      </w:pPr>
    </w:p>
    <w:p w14:paraId="02E0A2CB">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响  应  文  件</w:t>
      </w:r>
    </w:p>
    <w:p w14:paraId="6D0AFA6D">
      <w:pPr>
        <w:keepNext w:val="0"/>
        <w:keepLines w:val="0"/>
        <w:pageBreakBefore w:val="0"/>
        <w:widowControl w:val="0"/>
        <w:kinsoku/>
        <w:wordWrap/>
        <w:overflowPunct/>
        <w:topLinePunct w:val="0"/>
        <w:autoSpaceDE/>
        <w:autoSpaceDN/>
        <w:bidi w:val="0"/>
        <w:adjustRightInd/>
        <w:snapToGrid/>
        <w:spacing w:line="600" w:lineRule="auto"/>
        <w:ind w:firstLine="0" w:firstLineChars="0"/>
        <w:jc w:val="center"/>
        <w:textAlignment w:val="auto"/>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商务部分</w:t>
      </w:r>
    </w:p>
    <w:p w14:paraId="6412B8E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color w:val="auto"/>
          <w:kern w:val="0"/>
          <w:sz w:val="32"/>
          <w:szCs w:val="32"/>
          <w:highlight w:val="none"/>
        </w:rPr>
      </w:pPr>
    </w:p>
    <w:p w14:paraId="571998B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（填写正本或副本）</w:t>
      </w:r>
    </w:p>
    <w:p w14:paraId="6DECBE67">
      <w:pPr>
        <w:spacing w:line="360" w:lineRule="auto"/>
        <w:ind w:firstLine="482" w:firstLineChars="200"/>
        <w:jc w:val="center"/>
        <w:rPr>
          <w:rFonts w:hint="eastAsia" w:ascii="宋体" w:hAnsi="宋体" w:eastAsia="宋体" w:cs="宋体"/>
          <w:b/>
          <w:bCs w:val="0"/>
          <w:color w:val="auto"/>
          <w:kern w:val="0"/>
          <w:sz w:val="24"/>
          <w:szCs w:val="24"/>
          <w:highlight w:val="none"/>
        </w:rPr>
      </w:pPr>
    </w:p>
    <w:p w14:paraId="14040FDA">
      <w:pPr>
        <w:pStyle w:val="2"/>
        <w:rPr>
          <w:rFonts w:hint="eastAsia" w:ascii="宋体" w:hAnsi="宋体" w:eastAsia="宋体" w:cs="宋体"/>
          <w:b/>
          <w:bCs w:val="0"/>
          <w:color w:val="auto"/>
          <w:kern w:val="0"/>
          <w:sz w:val="24"/>
          <w:szCs w:val="24"/>
          <w:highlight w:val="none"/>
        </w:rPr>
      </w:pPr>
    </w:p>
    <w:p w14:paraId="70186353">
      <w:pPr>
        <w:rPr>
          <w:rFonts w:hint="eastAsia" w:ascii="宋体" w:hAnsi="宋体" w:eastAsia="宋体" w:cs="宋体"/>
          <w:b/>
          <w:bCs w:val="0"/>
          <w:color w:val="auto"/>
          <w:kern w:val="0"/>
          <w:sz w:val="24"/>
          <w:szCs w:val="24"/>
          <w:highlight w:val="none"/>
        </w:rPr>
      </w:pPr>
    </w:p>
    <w:p w14:paraId="639995F9">
      <w:pPr>
        <w:pStyle w:val="2"/>
        <w:rPr>
          <w:rFonts w:hint="eastAsia" w:ascii="宋体" w:hAnsi="宋体" w:eastAsia="宋体" w:cs="宋体"/>
          <w:b/>
          <w:bCs w:val="0"/>
          <w:color w:val="auto"/>
          <w:kern w:val="0"/>
          <w:sz w:val="24"/>
          <w:szCs w:val="24"/>
          <w:highlight w:val="none"/>
        </w:rPr>
      </w:pPr>
    </w:p>
    <w:p w14:paraId="7A11F389">
      <w:pPr>
        <w:rPr>
          <w:rFonts w:hint="eastAsia" w:ascii="宋体" w:hAnsi="宋体" w:eastAsia="宋体" w:cs="宋体"/>
          <w:b/>
          <w:color w:val="auto"/>
          <w:highlight w:val="none"/>
        </w:rPr>
      </w:pPr>
    </w:p>
    <w:p w14:paraId="2FB8E941">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项目名称：</w:t>
      </w:r>
      <w:r>
        <w:rPr>
          <w:rFonts w:hint="eastAsia" w:ascii="宋体" w:hAnsi="宋体" w:eastAsia="宋体" w:cs="宋体"/>
          <w:b/>
          <w:bCs w:val="0"/>
          <w:color w:val="auto"/>
          <w:kern w:val="0"/>
          <w:sz w:val="24"/>
          <w:szCs w:val="24"/>
          <w:highlight w:val="none"/>
          <w:u w:val="single"/>
        </w:rPr>
        <w:t xml:space="preserve">               </w:t>
      </w:r>
    </w:p>
    <w:p w14:paraId="000DB735">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项目编号：</w:t>
      </w:r>
      <w:r>
        <w:rPr>
          <w:rFonts w:hint="eastAsia" w:ascii="宋体" w:hAnsi="宋体" w:eastAsia="宋体" w:cs="宋体"/>
          <w:b/>
          <w:bCs w:val="0"/>
          <w:color w:val="auto"/>
          <w:kern w:val="0"/>
          <w:sz w:val="24"/>
          <w:szCs w:val="24"/>
          <w:highlight w:val="none"/>
          <w:u w:val="single"/>
        </w:rPr>
        <w:t xml:space="preserve">               </w:t>
      </w:r>
    </w:p>
    <w:p w14:paraId="6501CFA3">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所投采购包：</w:t>
      </w:r>
      <w:r>
        <w:rPr>
          <w:rFonts w:hint="eastAsia" w:ascii="宋体" w:hAnsi="宋体" w:eastAsia="宋体" w:cs="宋体"/>
          <w:b/>
          <w:bCs w:val="0"/>
          <w:color w:val="auto"/>
          <w:kern w:val="0"/>
          <w:sz w:val="24"/>
          <w:szCs w:val="24"/>
          <w:highlight w:val="none"/>
          <w:u w:val="single"/>
        </w:rPr>
        <w:t xml:space="preserve">             </w:t>
      </w:r>
    </w:p>
    <w:p w14:paraId="7E947FEC">
      <w:pPr>
        <w:keepNext w:val="0"/>
        <w:keepLines w:val="0"/>
        <w:pageBreakBefore w:val="0"/>
        <w:widowControl w:val="0"/>
        <w:kinsoku/>
        <w:wordWrap/>
        <w:overflowPunct/>
        <w:topLinePunct w:val="0"/>
        <w:autoSpaceDE/>
        <w:autoSpaceDN/>
        <w:bidi w:val="0"/>
        <w:adjustRightInd/>
        <w:snapToGrid/>
        <w:spacing w:line="360" w:lineRule="auto"/>
        <w:ind w:left="1470" w:leftChars="700" w:firstLine="482" w:firstLineChars="200"/>
        <w:jc w:val="center"/>
        <w:textAlignment w:val="auto"/>
        <w:rPr>
          <w:rFonts w:hint="eastAsia" w:ascii="宋体" w:hAnsi="宋体" w:eastAsia="宋体" w:cs="宋体"/>
          <w:b/>
          <w:bCs w:val="0"/>
          <w:color w:val="auto"/>
          <w:kern w:val="0"/>
          <w:sz w:val="24"/>
          <w:szCs w:val="24"/>
          <w:highlight w:val="none"/>
        </w:rPr>
      </w:pPr>
    </w:p>
    <w:p w14:paraId="6BE01D34">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供应商：</w:t>
      </w:r>
      <w:r>
        <w:rPr>
          <w:rFonts w:hint="eastAsia" w:ascii="宋体" w:hAnsi="宋体" w:eastAsia="宋体" w:cs="宋体"/>
          <w:b/>
          <w:bCs w:val="0"/>
          <w:color w:val="auto"/>
          <w:kern w:val="0"/>
          <w:sz w:val="24"/>
          <w:szCs w:val="24"/>
          <w:highlight w:val="none"/>
          <w:u w:val="single"/>
        </w:rPr>
        <w:t xml:space="preserve">                 </w:t>
      </w:r>
    </w:p>
    <w:p w14:paraId="13C773D0">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日  期：</w:t>
      </w:r>
      <w:r>
        <w:rPr>
          <w:rFonts w:hint="eastAsia" w:ascii="宋体" w:hAnsi="宋体" w:eastAsia="宋体" w:cs="宋体"/>
          <w:b/>
          <w:bCs w:val="0"/>
          <w:color w:val="auto"/>
          <w:kern w:val="0"/>
          <w:sz w:val="24"/>
          <w:szCs w:val="24"/>
          <w:highlight w:val="none"/>
          <w:u w:val="single"/>
        </w:rPr>
        <w:t xml:space="preserve">                 </w:t>
      </w:r>
    </w:p>
    <w:p w14:paraId="1CBD607E">
      <w:pPr>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rPr>
        <w:t>格式1  供应商具备资格证明文件</w:t>
      </w:r>
    </w:p>
    <w:p w14:paraId="465AF806">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-1供应商基本情况</w:t>
      </w:r>
    </w:p>
    <w:tbl>
      <w:tblPr>
        <w:tblStyle w:val="1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606"/>
        <w:gridCol w:w="1681"/>
        <w:gridCol w:w="1832"/>
        <w:gridCol w:w="2916"/>
      </w:tblGrid>
      <w:tr w14:paraId="3938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14:paraId="798F32E7">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2287" w:type="dxa"/>
            <w:gridSpan w:val="2"/>
            <w:vAlign w:val="center"/>
          </w:tcPr>
          <w:p w14:paraId="62BA2428">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019CB5DB">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916" w:type="dxa"/>
            <w:vAlign w:val="center"/>
          </w:tcPr>
          <w:p w14:paraId="0206C09A">
            <w:pPr>
              <w:pStyle w:val="10"/>
              <w:spacing w:line="360" w:lineRule="auto"/>
              <w:jc w:val="center"/>
              <w:rPr>
                <w:rFonts w:hint="eastAsia" w:ascii="宋体" w:hAnsi="宋体" w:eastAsia="宋体" w:cs="宋体"/>
                <w:color w:val="auto"/>
                <w:sz w:val="21"/>
                <w:szCs w:val="21"/>
                <w:highlight w:val="none"/>
              </w:rPr>
            </w:pPr>
          </w:p>
        </w:tc>
      </w:tr>
      <w:tr w14:paraId="599F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14:paraId="62993F42">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2287" w:type="dxa"/>
            <w:gridSpan w:val="2"/>
            <w:vAlign w:val="center"/>
          </w:tcPr>
          <w:p w14:paraId="717C2029">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3DA345B9">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916" w:type="dxa"/>
            <w:vAlign w:val="center"/>
          </w:tcPr>
          <w:p w14:paraId="33808533">
            <w:pPr>
              <w:pStyle w:val="10"/>
              <w:spacing w:line="360" w:lineRule="auto"/>
              <w:jc w:val="center"/>
              <w:rPr>
                <w:rFonts w:hint="eastAsia" w:ascii="宋体" w:hAnsi="宋体" w:eastAsia="宋体" w:cs="宋体"/>
                <w:color w:val="auto"/>
                <w:sz w:val="21"/>
                <w:szCs w:val="21"/>
                <w:highlight w:val="none"/>
              </w:rPr>
            </w:pPr>
          </w:p>
        </w:tc>
      </w:tr>
      <w:tr w14:paraId="51BB6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14:paraId="07DBFF9C">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2287" w:type="dxa"/>
            <w:gridSpan w:val="2"/>
            <w:vAlign w:val="center"/>
          </w:tcPr>
          <w:p w14:paraId="181AE80E">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4C35D139">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916" w:type="dxa"/>
            <w:vAlign w:val="center"/>
          </w:tcPr>
          <w:p w14:paraId="06EFC22A">
            <w:pPr>
              <w:pStyle w:val="10"/>
              <w:spacing w:line="360" w:lineRule="auto"/>
              <w:jc w:val="center"/>
              <w:rPr>
                <w:rFonts w:hint="eastAsia" w:ascii="宋体" w:hAnsi="宋体" w:eastAsia="宋体" w:cs="宋体"/>
                <w:color w:val="auto"/>
                <w:sz w:val="21"/>
                <w:szCs w:val="21"/>
                <w:highlight w:val="none"/>
              </w:rPr>
            </w:pPr>
          </w:p>
        </w:tc>
      </w:tr>
      <w:tr w14:paraId="130E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14:paraId="7C6F1A09">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2287" w:type="dxa"/>
            <w:gridSpan w:val="2"/>
            <w:vAlign w:val="center"/>
          </w:tcPr>
          <w:p w14:paraId="002C2EE5">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19B0DE24">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2916" w:type="dxa"/>
            <w:vAlign w:val="center"/>
          </w:tcPr>
          <w:p w14:paraId="7DEAB031">
            <w:pPr>
              <w:pStyle w:val="10"/>
              <w:spacing w:line="360" w:lineRule="auto"/>
              <w:jc w:val="center"/>
              <w:rPr>
                <w:rFonts w:hint="eastAsia" w:ascii="宋体" w:hAnsi="宋体" w:eastAsia="宋体" w:cs="宋体"/>
                <w:color w:val="auto"/>
                <w:sz w:val="21"/>
                <w:szCs w:val="21"/>
                <w:highlight w:val="none"/>
              </w:rPr>
            </w:pPr>
          </w:p>
        </w:tc>
      </w:tr>
      <w:tr w14:paraId="695A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14:paraId="73978F7E">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上年营业收入</w:t>
            </w:r>
          </w:p>
        </w:tc>
        <w:tc>
          <w:tcPr>
            <w:tcW w:w="2287" w:type="dxa"/>
            <w:gridSpan w:val="2"/>
            <w:vAlign w:val="center"/>
          </w:tcPr>
          <w:p w14:paraId="32F385E8">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20A7E76B">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c>
          <w:tcPr>
            <w:tcW w:w="2916" w:type="dxa"/>
            <w:vAlign w:val="center"/>
          </w:tcPr>
          <w:p w14:paraId="735821D8">
            <w:pPr>
              <w:pStyle w:val="10"/>
              <w:spacing w:line="360" w:lineRule="auto"/>
              <w:jc w:val="center"/>
              <w:rPr>
                <w:rFonts w:hint="eastAsia" w:ascii="宋体" w:hAnsi="宋体" w:eastAsia="宋体" w:cs="宋体"/>
                <w:color w:val="auto"/>
                <w:sz w:val="21"/>
                <w:szCs w:val="21"/>
                <w:highlight w:val="none"/>
              </w:rPr>
            </w:pPr>
          </w:p>
        </w:tc>
      </w:tr>
      <w:tr w14:paraId="07AF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116E8A00">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基本账户开户行及账号</w:t>
            </w:r>
          </w:p>
        </w:tc>
        <w:tc>
          <w:tcPr>
            <w:tcW w:w="6429" w:type="dxa"/>
            <w:gridSpan w:val="3"/>
            <w:vAlign w:val="center"/>
          </w:tcPr>
          <w:p w14:paraId="7F4D0937">
            <w:pPr>
              <w:pStyle w:val="10"/>
              <w:spacing w:line="360" w:lineRule="auto"/>
              <w:jc w:val="center"/>
              <w:rPr>
                <w:rFonts w:hint="eastAsia" w:ascii="宋体" w:hAnsi="宋体" w:eastAsia="宋体" w:cs="宋体"/>
                <w:color w:val="auto"/>
                <w:sz w:val="21"/>
                <w:szCs w:val="21"/>
                <w:highlight w:val="none"/>
              </w:rPr>
            </w:pPr>
          </w:p>
        </w:tc>
      </w:tr>
      <w:tr w14:paraId="7D12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496C75A4">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税务登记机关</w:t>
            </w:r>
          </w:p>
        </w:tc>
        <w:tc>
          <w:tcPr>
            <w:tcW w:w="6429" w:type="dxa"/>
            <w:gridSpan w:val="3"/>
            <w:vAlign w:val="center"/>
          </w:tcPr>
          <w:p w14:paraId="77A2024F">
            <w:pPr>
              <w:pStyle w:val="10"/>
              <w:spacing w:line="360" w:lineRule="auto"/>
              <w:jc w:val="center"/>
              <w:rPr>
                <w:rFonts w:hint="eastAsia" w:ascii="宋体" w:hAnsi="宋体" w:eastAsia="宋体" w:cs="宋体"/>
                <w:color w:val="auto"/>
                <w:sz w:val="21"/>
                <w:szCs w:val="21"/>
                <w:highlight w:val="none"/>
              </w:rPr>
            </w:pPr>
          </w:p>
        </w:tc>
      </w:tr>
      <w:tr w14:paraId="6DB5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4B96A8F7">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资质名称</w:t>
            </w:r>
          </w:p>
        </w:tc>
        <w:tc>
          <w:tcPr>
            <w:tcW w:w="1681" w:type="dxa"/>
            <w:vAlign w:val="center"/>
          </w:tcPr>
          <w:p w14:paraId="7DC8F807">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等级</w:t>
            </w:r>
          </w:p>
        </w:tc>
        <w:tc>
          <w:tcPr>
            <w:tcW w:w="1832" w:type="dxa"/>
            <w:vAlign w:val="center"/>
          </w:tcPr>
          <w:p w14:paraId="25A12360">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发证机关</w:t>
            </w:r>
          </w:p>
        </w:tc>
        <w:tc>
          <w:tcPr>
            <w:tcW w:w="2916" w:type="dxa"/>
            <w:vAlign w:val="center"/>
          </w:tcPr>
          <w:p w14:paraId="31853DD2">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有效期</w:t>
            </w:r>
          </w:p>
        </w:tc>
      </w:tr>
      <w:tr w14:paraId="252F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5E92115D">
            <w:pPr>
              <w:pStyle w:val="10"/>
              <w:spacing w:line="360" w:lineRule="auto"/>
              <w:jc w:val="center"/>
              <w:rPr>
                <w:rFonts w:hint="eastAsia" w:ascii="宋体" w:hAnsi="宋体" w:eastAsia="宋体" w:cs="宋体"/>
                <w:color w:val="auto"/>
                <w:sz w:val="21"/>
                <w:szCs w:val="21"/>
                <w:highlight w:val="none"/>
              </w:rPr>
            </w:pPr>
          </w:p>
        </w:tc>
        <w:tc>
          <w:tcPr>
            <w:tcW w:w="1681" w:type="dxa"/>
            <w:vAlign w:val="center"/>
          </w:tcPr>
          <w:p w14:paraId="5FC7108A">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669721EA">
            <w:pPr>
              <w:pStyle w:val="10"/>
              <w:spacing w:line="360" w:lineRule="auto"/>
              <w:jc w:val="center"/>
              <w:rPr>
                <w:rFonts w:hint="eastAsia" w:ascii="宋体" w:hAnsi="宋体" w:eastAsia="宋体" w:cs="宋体"/>
                <w:color w:val="auto"/>
                <w:sz w:val="21"/>
                <w:szCs w:val="21"/>
                <w:highlight w:val="none"/>
              </w:rPr>
            </w:pPr>
          </w:p>
        </w:tc>
        <w:tc>
          <w:tcPr>
            <w:tcW w:w="2916" w:type="dxa"/>
            <w:vAlign w:val="center"/>
          </w:tcPr>
          <w:p w14:paraId="66CE2D52">
            <w:pPr>
              <w:pStyle w:val="10"/>
              <w:spacing w:line="360" w:lineRule="auto"/>
              <w:jc w:val="center"/>
              <w:rPr>
                <w:rFonts w:hint="eastAsia" w:ascii="宋体" w:hAnsi="宋体" w:eastAsia="宋体" w:cs="宋体"/>
                <w:color w:val="auto"/>
                <w:sz w:val="21"/>
                <w:szCs w:val="21"/>
                <w:highlight w:val="none"/>
              </w:rPr>
            </w:pPr>
          </w:p>
        </w:tc>
      </w:tr>
      <w:tr w14:paraId="5C57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3D91333F">
            <w:pPr>
              <w:pStyle w:val="10"/>
              <w:spacing w:line="360" w:lineRule="auto"/>
              <w:jc w:val="center"/>
              <w:rPr>
                <w:rFonts w:hint="eastAsia" w:ascii="宋体" w:hAnsi="宋体" w:eastAsia="宋体" w:cs="宋体"/>
                <w:color w:val="auto"/>
                <w:sz w:val="21"/>
                <w:szCs w:val="21"/>
                <w:highlight w:val="none"/>
              </w:rPr>
            </w:pPr>
          </w:p>
        </w:tc>
        <w:tc>
          <w:tcPr>
            <w:tcW w:w="1681" w:type="dxa"/>
            <w:vAlign w:val="center"/>
          </w:tcPr>
          <w:p w14:paraId="1BE8DDF0">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13AF6E58">
            <w:pPr>
              <w:pStyle w:val="10"/>
              <w:spacing w:line="360" w:lineRule="auto"/>
              <w:jc w:val="center"/>
              <w:rPr>
                <w:rFonts w:hint="eastAsia" w:ascii="宋体" w:hAnsi="宋体" w:eastAsia="宋体" w:cs="宋体"/>
                <w:color w:val="auto"/>
                <w:sz w:val="21"/>
                <w:szCs w:val="21"/>
                <w:highlight w:val="none"/>
              </w:rPr>
            </w:pPr>
          </w:p>
        </w:tc>
        <w:tc>
          <w:tcPr>
            <w:tcW w:w="2916" w:type="dxa"/>
            <w:vAlign w:val="center"/>
          </w:tcPr>
          <w:p w14:paraId="27230EDD">
            <w:pPr>
              <w:pStyle w:val="10"/>
              <w:spacing w:line="360" w:lineRule="auto"/>
              <w:jc w:val="center"/>
              <w:rPr>
                <w:rFonts w:hint="eastAsia" w:ascii="宋体" w:hAnsi="宋体" w:eastAsia="宋体" w:cs="宋体"/>
                <w:color w:val="auto"/>
                <w:sz w:val="21"/>
                <w:szCs w:val="21"/>
                <w:highlight w:val="none"/>
              </w:rPr>
            </w:pPr>
          </w:p>
        </w:tc>
      </w:tr>
      <w:tr w14:paraId="3A22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14:paraId="7FC4ACCE">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供应商直接控股股东信息</w:t>
            </w:r>
          </w:p>
        </w:tc>
      </w:tr>
      <w:tr w14:paraId="0EEB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3229B2CA">
            <w:pPr>
              <w:widowControl/>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Cs w:val="21"/>
                <w:highlight w:val="none"/>
              </w:rPr>
              <w:t>直接控股股东名称</w:t>
            </w:r>
          </w:p>
        </w:tc>
        <w:tc>
          <w:tcPr>
            <w:tcW w:w="1681" w:type="dxa"/>
            <w:vAlign w:val="center"/>
          </w:tcPr>
          <w:p w14:paraId="45F66942">
            <w:pPr>
              <w:widowControl/>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Cs w:val="21"/>
                <w:highlight w:val="none"/>
              </w:rPr>
              <w:t>出资比例</w:t>
            </w:r>
          </w:p>
        </w:tc>
        <w:tc>
          <w:tcPr>
            <w:tcW w:w="4748" w:type="dxa"/>
            <w:gridSpan w:val="2"/>
            <w:vAlign w:val="center"/>
          </w:tcPr>
          <w:p w14:paraId="5E734AD2">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Cs w:val="21"/>
                <w:highlight w:val="none"/>
              </w:rPr>
              <w:t>身份证号码或者统一社会信用代码</w:t>
            </w:r>
          </w:p>
        </w:tc>
      </w:tr>
      <w:tr w14:paraId="40F4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0EC2438B">
            <w:pPr>
              <w:pStyle w:val="10"/>
              <w:spacing w:line="360" w:lineRule="auto"/>
              <w:jc w:val="center"/>
              <w:rPr>
                <w:rFonts w:hint="eastAsia" w:ascii="宋体" w:hAnsi="宋体" w:eastAsia="宋体" w:cs="宋体"/>
                <w:color w:val="auto"/>
                <w:sz w:val="21"/>
                <w:szCs w:val="21"/>
                <w:highlight w:val="none"/>
              </w:rPr>
            </w:pPr>
          </w:p>
        </w:tc>
        <w:tc>
          <w:tcPr>
            <w:tcW w:w="1681" w:type="dxa"/>
            <w:vAlign w:val="center"/>
          </w:tcPr>
          <w:p w14:paraId="3FD4B9B1">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4F4460CB">
            <w:pPr>
              <w:pStyle w:val="10"/>
              <w:spacing w:line="360" w:lineRule="auto"/>
              <w:jc w:val="center"/>
              <w:rPr>
                <w:rFonts w:hint="eastAsia" w:ascii="宋体" w:hAnsi="宋体" w:eastAsia="宋体" w:cs="宋体"/>
                <w:color w:val="auto"/>
                <w:sz w:val="21"/>
                <w:szCs w:val="21"/>
                <w:highlight w:val="none"/>
              </w:rPr>
            </w:pPr>
          </w:p>
        </w:tc>
        <w:tc>
          <w:tcPr>
            <w:tcW w:w="2916" w:type="dxa"/>
            <w:vAlign w:val="center"/>
          </w:tcPr>
          <w:p w14:paraId="31DFEDA7">
            <w:pPr>
              <w:pStyle w:val="10"/>
              <w:spacing w:line="360" w:lineRule="auto"/>
              <w:jc w:val="center"/>
              <w:rPr>
                <w:rFonts w:hint="eastAsia" w:ascii="宋体" w:hAnsi="宋体" w:eastAsia="宋体" w:cs="宋体"/>
                <w:color w:val="auto"/>
                <w:sz w:val="21"/>
                <w:szCs w:val="21"/>
                <w:highlight w:val="none"/>
              </w:rPr>
            </w:pPr>
          </w:p>
        </w:tc>
      </w:tr>
      <w:tr w14:paraId="0FE3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01469DE2">
            <w:pPr>
              <w:pStyle w:val="10"/>
              <w:spacing w:line="360" w:lineRule="auto"/>
              <w:jc w:val="center"/>
              <w:rPr>
                <w:rFonts w:hint="eastAsia" w:ascii="宋体" w:hAnsi="宋体" w:eastAsia="宋体" w:cs="宋体"/>
                <w:color w:val="auto"/>
                <w:sz w:val="21"/>
                <w:szCs w:val="21"/>
                <w:highlight w:val="none"/>
              </w:rPr>
            </w:pPr>
          </w:p>
        </w:tc>
        <w:tc>
          <w:tcPr>
            <w:tcW w:w="1681" w:type="dxa"/>
            <w:vAlign w:val="center"/>
          </w:tcPr>
          <w:p w14:paraId="405644A0">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639463AC">
            <w:pPr>
              <w:pStyle w:val="10"/>
              <w:spacing w:line="360" w:lineRule="auto"/>
              <w:jc w:val="center"/>
              <w:rPr>
                <w:rFonts w:hint="eastAsia" w:ascii="宋体" w:hAnsi="宋体" w:eastAsia="宋体" w:cs="宋体"/>
                <w:color w:val="auto"/>
                <w:sz w:val="21"/>
                <w:szCs w:val="21"/>
                <w:highlight w:val="none"/>
              </w:rPr>
            </w:pPr>
          </w:p>
        </w:tc>
        <w:tc>
          <w:tcPr>
            <w:tcW w:w="2916" w:type="dxa"/>
            <w:vAlign w:val="center"/>
          </w:tcPr>
          <w:p w14:paraId="47E21134">
            <w:pPr>
              <w:pStyle w:val="10"/>
              <w:spacing w:line="360" w:lineRule="auto"/>
              <w:jc w:val="center"/>
              <w:rPr>
                <w:rFonts w:hint="eastAsia" w:ascii="宋体" w:hAnsi="宋体" w:eastAsia="宋体" w:cs="宋体"/>
                <w:color w:val="auto"/>
                <w:sz w:val="21"/>
                <w:szCs w:val="21"/>
                <w:highlight w:val="none"/>
              </w:rPr>
            </w:pPr>
          </w:p>
        </w:tc>
      </w:tr>
      <w:tr w14:paraId="3240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1047D9C5">
            <w:pPr>
              <w:pStyle w:val="10"/>
              <w:spacing w:line="360" w:lineRule="auto"/>
              <w:jc w:val="center"/>
              <w:rPr>
                <w:rFonts w:hint="eastAsia" w:ascii="宋体" w:hAnsi="宋体" w:eastAsia="宋体" w:cs="宋体"/>
                <w:color w:val="auto"/>
                <w:sz w:val="21"/>
                <w:szCs w:val="21"/>
                <w:highlight w:val="none"/>
              </w:rPr>
            </w:pPr>
          </w:p>
        </w:tc>
        <w:tc>
          <w:tcPr>
            <w:tcW w:w="1681" w:type="dxa"/>
            <w:vAlign w:val="center"/>
          </w:tcPr>
          <w:p w14:paraId="631B29FE">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6B324080">
            <w:pPr>
              <w:pStyle w:val="10"/>
              <w:spacing w:line="360" w:lineRule="auto"/>
              <w:jc w:val="center"/>
              <w:rPr>
                <w:rFonts w:hint="eastAsia" w:ascii="宋体" w:hAnsi="宋体" w:eastAsia="宋体" w:cs="宋体"/>
                <w:color w:val="auto"/>
                <w:sz w:val="21"/>
                <w:szCs w:val="21"/>
                <w:highlight w:val="none"/>
              </w:rPr>
            </w:pPr>
          </w:p>
        </w:tc>
        <w:tc>
          <w:tcPr>
            <w:tcW w:w="2916" w:type="dxa"/>
            <w:vAlign w:val="center"/>
          </w:tcPr>
          <w:p w14:paraId="3475A803">
            <w:pPr>
              <w:pStyle w:val="10"/>
              <w:spacing w:line="360" w:lineRule="auto"/>
              <w:jc w:val="center"/>
              <w:rPr>
                <w:rFonts w:hint="eastAsia" w:ascii="宋体" w:hAnsi="宋体" w:eastAsia="宋体" w:cs="宋体"/>
                <w:color w:val="auto"/>
                <w:sz w:val="21"/>
                <w:szCs w:val="21"/>
                <w:highlight w:val="none"/>
              </w:rPr>
            </w:pPr>
          </w:p>
        </w:tc>
      </w:tr>
      <w:tr w14:paraId="041C5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5"/>
            <w:vAlign w:val="center"/>
          </w:tcPr>
          <w:p w14:paraId="422F5E5F">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rPr>
              <w:t>供应商直接管理关系信息表</w:t>
            </w:r>
          </w:p>
        </w:tc>
      </w:tr>
      <w:tr w14:paraId="1293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40" w:type="dxa"/>
            <w:gridSpan w:val="3"/>
            <w:vAlign w:val="center"/>
          </w:tcPr>
          <w:p w14:paraId="20D89115">
            <w:pPr>
              <w:widowControl/>
              <w:spacing w:line="360" w:lineRule="auto"/>
              <w:contextualSpacing/>
              <w:jc w:val="center"/>
              <w:rPr>
                <w:rFonts w:hint="eastAsia" w:ascii="宋体" w:hAnsi="宋体" w:eastAsia="宋体" w:cs="宋体"/>
                <w:color w:val="auto"/>
                <w:sz w:val="21"/>
                <w:szCs w:val="21"/>
                <w:highlight w:val="none"/>
              </w:rPr>
            </w:pPr>
            <w:r>
              <w:rPr>
                <w:rFonts w:hint="eastAsia" w:ascii="宋体" w:hAnsi="宋体" w:eastAsia="宋体" w:cs="宋体"/>
                <w:bCs/>
                <w:color w:val="auto"/>
                <w:kern w:val="0"/>
                <w:szCs w:val="21"/>
                <w:highlight w:val="none"/>
              </w:rPr>
              <w:t>直接管理关系单位名称</w:t>
            </w:r>
          </w:p>
        </w:tc>
        <w:tc>
          <w:tcPr>
            <w:tcW w:w="4748" w:type="dxa"/>
            <w:gridSpan w:val="2"/>
            <w:vAlign w:val="center"/>
          </w:tcPr>
          <w:p w14:paraId="37010B84">
            <w:pPr>
              <w:pStyle w:val="10"/>
              <w:jc w:val="center"/>
              <w:rPr>
                <w:rFonts w:hint="eastAsia" w:ascii="宋体" w:hAnsi="宋体" w:eastAsia="宋体" w:cs="宋体"/>
                <w:color w:val="auto"/>
                <w:sz w:val="21"/>
                <w:szCs w:val="21"/>
                <w:highlight w:val="none"/>
              </w:rPr>
            </w:pPr>
            <w:r>
              <w:rPr>
                <w:rFonts w:hint="eastAsia" w:ascii="宋体" w:hAnsi="宋体" w:eastAsia="宋体" w:cs="宋体"/>
                <w:bCs/>
                <w:color w:val="auto"/>
                <w:highlight w:val="none"/>
              </w:rPr>
              <w:t>统一社会信用代码</w:t>
            </w:r>
          </w:p>
        </w:tc>
      </w:tr>
      <w:tr w14:paraId="34B8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51F73B67">
            <w:pPr>
              <w:pStyle w:val="10"/>
              <w:spacing w:line="360" w:lineRule="auto"/>
              <w:jc w:val="center"/>
              <w:rPr>
                <w:rFonts w:hint="eastAsia" w:ascii="宋体" w:hAnsi="宋体" w:eastAsia="宋体" w:cs="宋体"/>
                <w:color w:val="auto"/>
                <w:sz w:val="21"/>
                <w:szCs w:val="21"/>
                <w:highlight w:val="none"/>
              </w:rPr>
            </w:pPr>
          </w:p>
        </w:tc>
        <w:tc>
          <w:tcPr>
            <w:tcW w:w="1681" w:type="dxa"/>
            <w:vAlign w:val="center"/>
          </w:tcPr>
          <w:p w14:paraId="29BC49B1">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2006764B">
            <w:pPr>
              <w:pStyle w:val="10"/>
              <w:spacing w:line="360" w:lineRule="auto"/>
              <w:jc w:val="center"/>
              <w:rPr>
                <w:rFonts w:hint="eastAsia" w:ascii="宋体" w:hAnsi="宋体" w:eastAsia="宋体" w:cs="宋体"/>
                <w:color w:val="auto"/>
                <w:sz w:val="21"/>
                <w:szCs w:val="21"/>
                <w:highlight w:val="none"/>
              </w:rPr>
            </w:pPr>
          </w:p>
        </w:tc>
        <w:tc>
          <w:tcPr>
            <w:tcW w:w="2916" w:type="dxa"/>
            <w:vAlign w:val="center"/>
          </w:tcPr>
          <w:p w14:paraId="282D803F">
            <w:pPr>
              <w:pStyle w:val="10"/>
              <w:spacing w:line="360" w:lineRule="auto"/>
              <w:jc w:val="center"/>
              <w:rPr>
                <w:rFonts w:hint="eastAsia" w:ascii="宋体" w:hAnsi="宋体" w:eastAsia="宋体" w:cs="宋体"/>
                <w:color w:val="auto"/>
                <w:sz w:val="21"/>
                <w:szCs w:val="21"/>
                <w:highlight w:val="none"/>
              </w:rPr>
            </w:pPr>
          </w:p>
        </w:tc>
      </w:tr>
      <w:tr w14:paraId="221DF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9" w:type="dxa"/>
            <w:gridSpan w:val="2"/>
            <w:vAlign w:val="center"/>
          </w:tcPr>
          <w:p w14:paraId="1C495B54">
            <w:pPr>
              <w:pStyle w:val="10"/>
              <w:spacing w:line="360" w:lineRule="auto"/>
              <w:jc w:val="center"/>
              <w:rPr>
                <w:rFonts w:hint="eastAsia" w:ascii="宋体" w:hAnsi="宋体" w:eastAsia="宋体" w:cs="宋体"/>
                <w:color w:val="auto"/>
                <w:sz w:val="21"/>
                <w:szCs w:val="21"/>
                <w:highlight w:val="none"/>
              </w:rPr>
            </w:pPr>
          </w:p>
        </w:tc>
        <w:tc>
          <w:tcPr>
            <w:tcW w:w="1681" w:type="dxa"/>
            <w:vAlign w:val="center"/>
          </w:tcPr>
          <w:p w14:paraId="5A49E5DE">
            <w:pPr>
              <w:pStyle w:val="10"/>
              <w:spacing w:line="360" w:lineRule="auto"/>
              <w:jc w:val="center"/>
              <w:rPr>
                <w:rFonts w:hint="eastAsia" w:ascii="宋体" w:hAnsi="宋体" w:eastAsia="宋体" w:cs="宋体"/>
                <w:color w:val="auto"/>
                <w:sz w:val="21"/>
                <w:szCs w:val="21"/>
                <w:highlight w:val="none"/>
              </w:rPr>
            </w:pPr>
          </w:p>
        </w:tc>
        <w:tc>
          <w:tcPr>
            <w:tcW w:w="1832" w:type="dxa"/>
            <w:vAlign w:val="center"/>
          </w:tcPr>
          <w:p w14:paraId="37A59878">
            <w:pPr>
              <w:pStyle w:val="10"/>
              <w:spacing w:line="360" w:lineRule="auto"/>
              <w:jc w:val="center"/>
              <w:rPr>
                <w:rFonts w:hint="eastAsia" w:ascii="宋体" w:hAnsi="宋体" w:eastAsia="宋体" w:cs="宋体"/>
                <w:color w:val="auto"/>
                <w:sz w:val="21"/>
                <w:szCs w:val="21"/>
                <w:highlight w:val="none"/>
              </w:rPr>
            </w:pPr>
          </w:p>
        </w:tc>
        <w:tc>
          <w:tcPr>
            <w:tcW w:w="2916" w:type="dxa"/>
            <w:vAlign w:val="center"/>
          </w:tcPr>
          <w:p w14:paraId="476C8ED1">
            <w:pPr>
              <w:pStyle w:val="10"/>
              <w:spacing w:line="360" w:lineRule="auto"/>
              <w:jc w:val="center"/>
              <w:rPr>
                <w:rFonts w:hint="eastAsia" w:ascii="宋体" w:hAnsi="宋体" w:eastAsia="宋体" w:cs="宋体"/>
                <w:color w:val="auto"/>
                <w:sz w:val="21"/>
                <w:szCs w:val="21"/>
                <w:highlight w:val="none"/>
              </w:rPr>
            </w:pPr>
          </w:p>
        </w:tc>
      </w:tr>
      <w:tr w14:paraId="6374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3" w:type="dxa"/>
            <w:vAlign w:val="center"/>
          </w:tcPr>
          <w:p w14:paraId="3E2C7A3F">
            <w:pPr>
              <w:pStyle w:val="1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035" w:type="dxa"/>
            <w:gridSpan w:val="4"/>
            <w:vAlign w:val="center"/>
          </w:tcPr>
          <w:p w14:paraId="04917695">
            <w:pPr>
              <w:pStyle w:val="10"/>
              <w:spacing w:line="360" w:lineRule="auto"/>
              <w:jc w:val="center"/>
              <w:rPr>
                <w:rFonts w:hint="eastAsia" w:ascii="宋体" w:hAnsi="宋体" w:eastAsia="宋体" w:cs="宋体"/>
                <w:color w:val="auto"/>
                <w:sz w:val="21"/>
                <w:szCs w:val="21"/>
                <w:highlight w:val="none"/>
              </w:rPr>
            </w:pPr>
          </w:p>
        </w:tc>
      </w:tr>
    </w:tbl>
    <w:p w14:paraId="71E227A7">
      <w:pPr>
        <w:topLinePunct/>
        <w:autoSpaceDE w:val="0"/>
        <w:autoSpaceDN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eastAsia="zh-CN"/>
        </w:rPr>
        <w:t>（供应商属于</w:t>
      </w:r>
      <w:r>
        <w:rPr>
          <w:rFonts w:hint="eastAsia" w:ascii="宋体" w:hAnsi="宋体" w:eastAsia="宋体" w:cs="宋体"/>
          <w:color w:val="auto"/>
          <w:sz w:val="21"/>
          <w:szCs w:val="21"/>
          <w:highlight w:val="none"/>
        </w:rPr>
        <w:t>法人或者其他组织的</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营业执照等证明文件</w:t>
      </w:r>
      <w:r>
        <w:rPr>
          <w:rFonts w:hint="eastAsia" w:ascii="宋体" w:hAnsi="宋体" w:eastAsia="宋体" w:cs="宋体"/>
          <w:color w:val="auto"/>
          <w:sz w:val="21"/>
          <w:szCs w:val="21"/>
          <w:highlight w:val="none"/>
          <w:lang w:eastAsia="zh-CN"/>
        </w:rPr>
        <w:t>；供应商属于</w:t>
      </w:r>
      <w:r>
        <w:rPr>
          <w:rFonts w:hint="eastAsia" w:ascii="宋体" w:hAnsi="宋体" w:eastAsia="宋体" w:cs="宋体"/>
          <w:color w:val="auto"/>
          <w:sz w:val="21"/>
          <w:szCs w:val="21"/>
          <w:highlight w:val="none"/>
        </w:rPr>
        <w:t>自然人的</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身份证明复印件</w:t>
      </w:r>
      <w:r>
        <w:rPr>
          <w:rFonts w:hint="eastAsia" w:ascii="宋体" w:hAnsi="宋体" w:eastAsia="宋体" w:cs="宋体"/>
          <w:color w:val="auto"/>
          <w:sz w:val="21"/>
          <w:szCs w:val="21"/>
          <w:highlight w:val="none"/>
          <w:lang w:eastAsia="zh-CN"/>
        </w:rPr>
        <w:t>。）</w:t>
      </w:r>
    </w:p>
    <w:p w14:paraId="0A592660">
      <w:pPr>
        <w:pStyle w:val="2"/>
        <w:rPr>
          <w:rFonts w:hint="eastAsia" w:ascii="宋体" w:hAnsi="宋体" w:eastAsia="宋体" w:cs="宋体"/>
          <w:color w:val="auto"/>
          <w:sz w:val="24"/>
          <w:highlight w:val="none"/>
        </w:rPr>
      </w:pPr>
    </w:p>
    <w:p w14:paraId="052B23E8">
      <w:pPr>
        <w:pStyle w:val="2"/>
        <w:rPr>
          <w:rFonts w:hint="eastAsia" w:ascii="宋体" w:hAnsi="宋体" w:eastAsia="宋体" w:cs="宋体"/>
          <w:color w:val="auto"/>
          <w:sz w:val="24"/>
          <w:highlight w:val="none"/>
        </w:rPr>
      </w:pPr>
    </w:p>
    <w:p w14:paraId="6A2DAA44">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9B0DA6A">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742F365">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1CC8220B">
      <w:pPr>
        <w:pStyle w:val="10"/>
        <w:ind w:firstLine="420" w:firstLineChars="200"/>
        <w:rPr>
          <w:rFonts w:hint="eastAsia" w:ascii="宋体" w:hAnsi="宋体" w:eastAsia="宋体" w:cs="宋体"/>
          <w:color w:val="auto"/>
          <w:highlight w:val="none"/>
        </w:rPr>
      </w:pPr>
    </w:p>
    <w:p w14:paraId="4F55F455">
      <w:pPr>
        <w:widowControl/>
        <w:spacing w:after="0"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3B60138A">
      <w:pPr>
        <w:widowControl/>
        <w:spacing w:after="0" w:line="240" w:lineRule="auto"/>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2</w:t>
      </w:r>
      <w:r>
        <w:rPr>
          <w:rFonts w:hint="eastAsia" w:ascii="宋体" w:hAnsi="宋体" w:cs="宋体"/>
          <w:b/>
          <w:bCs/>
          <w:color w:val="auto"/>
          <w:sz w:val="28"/>
          <w:szCs w:val="28"/>
          <w:highlight w:val="none"/>
          <w:lang w:val="en-US" w:eastAsia="zh-CN"/>
        </w:rPr>
        <w:t xml:space="preserve"> 供应商有效的</w:t>
      </w:r>
      <w:r>
        <w:rPr>
          <w:rFonts w:hint="eastAsia" w:ascii="宋体" w:hAnsi="宋体" w:eastAsia="宋体" w:cs="宋体"/>
          <w:b/>
          <w:bCs/>
          <w:color w:val="auto"/>
          <w:sz w:val="28"/>
          <w:szCs w:val="28"/>
          <w:highlight w:val="none"/>
          <w:lang w:eastAsia="zh-CN"/>
        </w:rPr>
        <w:t>《食品经营许可证》（提供复印件）</w:t>
      </w:r>
    </w:p>
    <w:p w14:paraId="47E8DD24">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0C28721E">
      <w:pPr>
        <w:pStyle w:val="2"/>
        <w:rPr>
          <w:rFonts w:hint="default"/>
          <w:color w:val="auto"/>
          <w:highlight w:val="none"/>
          <w:lang w:val="en-US" w:eastAsia="zh-CN"/>
        </w:rPr>
      </w:pPr>
    </w:p>
    <w:p w14:paraId="7E39C2C8">
      <w:pPr>
        <w:pStyle w:val="2"/>
        <w:rPr>
          <w:rFonts w:hint="default"/>
          <w:color w:val="auto"/>
          <w:highlight w:val="none"/>
          <w:lang w:val="en-US" w:eastAsia="zh-CN"/>
        </w:rPr>
      </w:pPr>
    </w:p>
    <w:p w14:paraId="47A0BDE8">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 xml:space="preserve"> 财务状况报告</w:t>
      </w:r>
    </w:p>
    <w:p w14:paraId="68AD4B0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34EEE1A4">
      <w:pPr>
        <w:spacing w:line="360" w:lineRule="auto"/>
        <w:ind w:firstLine="480" w:firstLineChars="200"/>
        <w:jc w:val="left"/>
        <w:rPr>
          <w:rFonts w:hint="eastAsia" w:ascii="宋体" w:hAnsi="宋体" w:eastAsia="宋体" w:cs="宋体"/>
          <w:color w:val="auto"/>
          <w:kern w:val="0"/>
          <w:sz w:val="24"/>
          <w:highlight w:val="none"/>
        </w:rPr>
      </w:pPr>
    </w:p>
    <w:p w14:paraId="30199EF8">
      <w:pPr>
        <w:spacing w:line="360" w:lineRule="auto"/>
        <w:ind w:firstLine="480" w:firstLineChars="200"/>
        <w:jc w:val="left"/>
        <w:rPr>
          <w:rFonts w:hint="eastAsia" w:ascii="宋体" w:hAnsi="宋体" w:eastAsia="宋体" w:cs="宋体"/>
          <w:color w:val="auto"/>
          <w:kern w:val="0"/>
          <w:sz w:val="24"/>
          <w:highlight w:val="none"/>
        </w:rPr>
      </w:pPr>
    </w:p>
    <w:p w14:paraId="11B20DB5">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依法缴纳税收的相关材料</w:t>
      </w:r>
    </w:p>
    <w:p w14:paraId="693E8367">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4EB91052">
      <w:pPr>
        <w:spacing w:line="360" w:lineRule="auto"/>
        <w:ind w:firstLine="480" w:firstLineChars="200"/>
        <w:jc w:val="left"/>
        <w:rPr>
          <w:rFonts w:hint="eastAsia" w:ascii="宋体" w:hAnsi="宋体" w:eastAsia="宋体" w:cs="宋体"/>
          <w:color w:val="auto"/>
          <w:kern w:val="0"/>
          <w:sz w:val="24"/>
          <w:highlight w:val="none"/>
        </w:rPr>
      </w:pPr>
    </w:p>
    <w:p w14:paraId="6107FDAB">
      <w:pPr>
        <w:spacing w:line="360" w:lineRule="auto"/>
        <w:ind w:firstLine="480" w:firstLineChars="200"/>
        <w:jc w:val="left"/>
        <w:rPr>
          <w:rFonts w:hint="eastAsia" w:ascii="宋体" w:hAnsi="宋体" w:eastAsia="宋体" w:cs="宋体"/>
          <w:color w:val="auto"/>
          <w:kern w:val="0"/>
          <w:sz w:val="24"/>
          <w:highlight w:val="none"/>
        </w:rPr>
      </w:pPr>
    </w:p>
    <w:p w14:paraId="68B50750">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依法缴纳社会保障资金的相关材料</w:t>
      </w:r>
    </w:p>
    <w:p w14:paraId="5A2C1325">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39AB4824">
      <w:pPr>
        <w:adjustRightInd w:val="0"/>
        <w:snapToGrid w:val="0"/>
        <w:spacing w:after="0" w:line="360" w:lineRule="auto"/>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参加本次采购活动前三年内在经营活动中</w:t>
      </w:r>
    </w:p>
    <w:p w14:paraId="2905BD79">
      <w:pPr>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没有重大违法记录的书面声明</w:t>
      </w:r>
    </w:p>
    <w:p w14:paraId="4E744562">
      <w:pPr>
        <w:pStyle w:val="10"/>
        <w:topLinePunct/>
        <w:autoSpaceDE w:val="0"/>
        <w:autoSpaceDN w:val="0"/>
        <w:snapToGrid w:val="0"/>
        <w:spacing w:line="360" w:lineRule="auto"/>
        <w:jc w:val="center"/>
        <w:rPr>
          <w:rFonts w:hint="eastAsia" w:ascii="宋体" w:hAnsi="宋体" w:eastAsia="宋体" w:cs="宋体"/>
          <w:b/>
          <w:color w:val="auto"/>
          <w:w w:val="150"/>
          <w:sz w:val="21"/>
          <w:szCs w:val="21"/>
          <w:highlight w:val="none"/>
        </w:rPr>
      </w:pPr>
    </w:p>
    <w:p w14:paraId="427ABC3B">
      <w:pPr>
        <w:pStyle w:val="1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14:paraId="67AA61C8">
      <w:pPr>
        <w:pStyle w:val="1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我单位在参加本次采购活动前三年内在经营活动中没有重大违法记录，包括：</w:t>
      </w:r>
    </w:p>
    <w:p w14:paraId="1C6CCB37">
      <w:pPr>
        <w:pStyle w:val="1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我单位未因经营活动中的违法行为受到刑事处罚或者责令停产停业、吊销许可证或者执照、较大数额罚款等行政处罚。</w:t>
      </w:r>
    </w:p>
    <w:p w14:paraId="0184D74F">
      <w:pPr>
        <w:pStyle w:val="1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5B8B0A14">
      <w:pPr>
        <w:snapToGrid w:val="0"/>
        <w:spacing w:after="0" w:line="360" w:lineRule="auto"/>
        <w:ind w:firstLine="420" w:firstLineChars="200"/>
        <w:rPr>
          <w:rFonts w:hint="eastAsia" w:ascii="宋体" w:hAnsi="宋体" w:eastAsia="宋体" w:cs="宋体"/>
          <w:color w:val="auto"/>
          <w:sz w:val="21"/>
          <w:szCs w:val="21"/>
          <w:highlight w:val="none"/>
        </w:rPr>
      </w:pPr>
    </w:p>
    <w:p w14:paraId="0ED16688">
      <w:pPr>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（请供应商根据实际情况如实声明，否则视为提供虚假材料。）</w:t>
      </w:r>
    </w:p>
    <w:p w14:paraId="5305503D">
      <w:pPr>
        <w:snapToGrid w:val="0"/>
        <w:spacing w:after="0" w:line="360" w:lineRule="auto"/>
        <w:ind w:firstLine="420" w:firstLineChars="200"/>
        <w:rPr>
          <w:rFonts w:hint="eastAsia" w:ascii="宋体" w:hAnsi="宋体" w:eastAsia="宋体" w:cs="宋体"/>
          <w:color w:val="auto"/>
          <w:sz w:val="21"/>
          <w:szCs w:val="21"/>
          <w:highlight w:val="none"/>
        </w:rPr>
      </w:pPr>
    </w:p>
    <w:p w14:paraId="35B5E908">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5192A1">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3C84F83">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10C8B909">
      <w:pPr>
        <w:widowControl/>
        <w:spacing w:after="0" w:line="240" w:lineRule="auto"/>
        <w:jc w:val="center"/>
        <w:rPr>
          <w:rFonts w:hint="eastAsia" w:ascii="宋体" w:hAnsi="宋体" w:eastAsia="宋体" w:cs="宋体"/>
          <w:b/>
          <w:bCs/>
          <w:color w:val="auto"/>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7中小企业声明函</w:t>
      </w:r>
    </w:p>
    <w:p w14:paraId="19D1CB31">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2A2139A4">
      <w:pPr>
        <w:widowControl/>
        <w:spacing w:after="0"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联合体协议（若有）</w:t>
      </w:r>
    </w:p>
    <w:p w14:paraId="1B319D17">
      <w:pPr>
        <w:pStyle w:val="10"/>
        <w:topLinePunct/>
        <w:autoSpaceDE w:val="0"/>
        <w:autoSpaceDN w:val="0"/>
        <w:snapToGrid w:val="0"/>
        <w:spacing w:line="360" w:lineRule="auto"/>
        <w:jc w:val="center"/>
        <w:rPr>
          <w:rFonts w:hint="eastAsia" w:ascii="宋体" w:hAnsi="宋体" w:eastAsia="宋体" w:cs="宋体"/>
          <w:b/>
          <w:color w:val="auto"/>
          <w:w w:val="150"/>
          <w:sz w:val="24"/>
          <w:highlight w:val="none"/>
        </w:rPr>
      </w:pPr>
    </w:p>
    <w:p w14:paraId="0837C0D0">
      <w:pPr>
        <w:pStyle w:val="10"/>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14:paraId="633B3BEA">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经研究，我方决定自愿组成联合体共同参加____________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项目的磋商。</w:t>
      </w:r>
      <w:r>
        <w:rPr>
          <w:rFonts w:hint="eastAsia" w:ascii="宋体" w:hAnsi="宋体" w:eastAsia="宋体" w:cs="宋体"/>
          <w:color w:val="auto"/>
          <w:kern w:val="0"/>
          <w:sz w:val="21"/>
          <w:szCs w:val="21"/>
          <w:highlight w:val="none"/>
        </w:rPr>
        <w:t>现就联合体参加本项目磋商的有关</w:t>
      </w:r>
      <w:r>
        <w:rPr>
          <w:rFonts w:hint="eastAsia" w:ascii="宋体" w:hAnsi="宋体" w:eastAsia="宋体" w:cs="宋体"/>
          <w:color w:val="auto"/>
          <w:sz w:val="21"/>
          <w:szCs w:val="21"/>
          <w:highlight w:val="none"/>
        </w:rPr>
        <w:t>事宜订立如下协议：</w:t>
      </w:r>
    </w:p>
    <w:p w14:paraId="0DD9763F">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一、联合体成员：</w:t>
      </w:r>
    </w:p>
    <w:p w14:paraId="61555B30">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1.____________________</w:t>
      </w:r>
    </w:p>
    <w:p w14:paraId="588B6E62">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2.____________________</w:t>
      </w:r>
    </w:p>
    <w:p w14:paraId="199DEF84">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3.____________________</w:t>
      </w:r>
    </w:p>
    <w:p w14:paraId="2A316CC3">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二、____________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某成员单位名称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为____________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牵头人。</w:t>
      </w:r>
    </w:p>
    <w:p w14:paraId="4B83AE90">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联合体牵头人合法代表联合体各成员负责本项目响应文件编制活动，代表联合体提交和接收相关的资料、信息及指示，并处理与磋商有关的一切事务；联合体成交后，联合体牵头人负责合同订立和实施阶段的主办、组织和协调工作。</w:t>
      </w:r>
    </w:p>
    <w:p w14:paraId="075ADCD1">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四、联合体将严格按照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文件的各项要求，递交响应文件，参加磋商，履行成交义务和成交后的合同，并向采购人承担连带责任。</w:t>
      </w:r>
    </w:p>
    <w:p w14:paraId="51E999B7">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五、联合体各成员单位内部的职责分工如下：____________。按照本条上述分工，联合体成员单位各自所承担的合同工作量比例如下：____________。</w:t>
      </w:r>
    </w:p>
    <w:p w14:paraId="68DCA5C1">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六、本协议书自签署之日起生效，合同履行完毕后自动失效。</w:t>
      </w:r>
    </w:p>
    <w:p w14:paraId="2A1D0CA9">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七、本协议书一式______份，联合体成员和采购人各执一份。</w:t>
      </w:r>
    </w:p>
    <w:p w14:paraId="1B72FB5B">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14:paraId="15448E81">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牵头人名称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：____________</w:t>
      </w:r>
    </w:p>
    <w:p w14:paraId="1818A178">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：____________</w:t>
      </w:r>
    </w:p>
    <w:p w14:paraId="2B8081B2">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成员名称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：____________</w:t>
      </w:r>
    </w:p>
    <w:p w14:paraId="07D21540">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sz w:val="21"/>
          <w:szCs w:val="21"/>
          <w:highlight w:val="none"/>
        </w:rPr>
        <w:t>：____________</w:t>
      </w:r>
    </w:p>
    <w:p w14:paraId="2F47F5CA">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14:paraId="505294C7">
      <w:pPr>
        <w:keepNext w:val="0"/>
        <w:keepLines w:val="0"/>
        <w:pageBreakBefore w:val="0"/>
        <w:kinsoku/>
        <w:wordWrap/>
        <w:overflowPunct/>
        <w:topLinePunct w:val="0"/>
        <w:autoSpaceDE/>
        <w:autoSpaceDN/>
        <w:bidi w:val="0"/>
        <w:adjustRightInd/>
        <w:spacing w:after="0" w:line="360" w:lineRule="auto"/>
        <w:ind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______年____月____日</w:t>
      </w:r>
    </w:p>
    <w:p w14:paraId="5BC99C95">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p>
    <w:p w14:paraId="3BAB697A">
      <w:pPr>
        <w:keepNext w:val="0"/>
        <w:keepLines w:val="0"/>
        <w:pageBreakBefore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备注：本协议书由授权代表签字的，应附法定代表人签字的授权委托书。</w:t>
      </w:r>
    </w:p>
    <w:p w14:paraId="46D43B70">
      <w:pPr>
        <w:keepNext w:val="0"/>
        <w:keepLines w:val="0"/>
        <w:pageBreakBefore w:val="0"/>
        <w:widowControl/>
        <w:kinsoku/>
        <w:wordWrap/>
        <w:overflowPunct/>
        <w:topLinePunct w:val="0"/>
        <w:autoSpaceDE/>
        <w:autoSpaceDN/>
        <w:bidi w:val="0"/>
        <w:adjustRightInd/>
        <w:spacing w:after="0" w:line="36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其他资格证明文件（若有）</w:t>
      </w:r>
    </w:p>
    <w:p w14:paraId="6E8ABEDE">
      <w:pPr>
        <w:rPr>
          <w:rFonts w:hint="eastAsia" w:ascii="宋体" w:hAnsi="宋体" w:eastAsia="宋体" w:cs="宋体"/>
          <w:color w:val="auto"/>
          <w:highlight w:val="none"/>
        </w:rPr>
      </w:pPr>
    </w:p>
    <w:p w14:paraId="2BBEB603">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根据资格条件要求提供相应材料。</w:t>
      </w:r>
    </w:p>
    <w:p w14:paraId="5FDAD5B3">
      <w:pPr>
        <w:rPr>
          <w:rFonts w:hint="eastAsia" w:ascii="宋体" w:hAnsi="宋体" w:eastAsia="宋体" w:cs="宋体"/>
          <w:color w:val="auto"/>
          <w:sz w:val="24"/>
          <w:highlight w:val="none"/>
        </w:rPr>
      </w:pPr>
    </w:p>
    <w:p w14:paraId="38AADC33">
      <w:pPr>
        <w:widowControl/>
        <w:spacing w:after="0" w:line="240" w:lineRule="auto"/>
        <w:jc w:val="center"/>
        <w:rPr>
          <w:rFonts w:hint="eastAsia" w:ascii="宋体" w:hAnsi="宋体" w:eastAsia="宋体" w:cs="宋体"/>
          <w:b/>
          <w:bCs/>
          <w:color w:val="auto"/>
          <w:sz w:val="28"/>
          <w:szCs w:val="28"/>
          <w:highlight w:val="none"/>
        </w:rPr>
      </w:pPr>
    </w:p>
    <w:p w14:paraId="66EEAE7A">
      <w:pPr>
        <w:widowControl/>
        <w:spacing w:after="0" w:line="240" w:lineRule="auto"/>
        <w:jc w:val="center"/>
        <w:rPr>
          <w:rFonts w:hint="eastAsia" w:ascii="宋体" w:hAnsi="宋体" w:eastAsia="宋体" w:cs="宋体"/>
          <w:b/>
          <w:bCs/>
          <w:color w:val="auto"/>
          <w:sz w:val="28"/>
          <w:szCs w:val="28"/>
          <w:highlight w:val="none"/>
        </w:rPr>
      </w:pPr>
    </w:p>
    <w:p w14:paraId="1F646889">
      <w:pPr>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中小企业声明函</w:t>
      </w:r>
    </w:p>
    <w:p w14:paraId="3E5D30AD">
      <w:pPr>
        <w:widowControl/>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中小企业声明函（工程、服务）</w:t>
      </w:r>
    </w:p>
    <w:p w14:paraId="16ECEB47">
      <w:pPr>
        <w:widowControl/>
        <w:spacing w:after="0" w:line="360" w:lineRule="auto"/>
        <w:ind w:firstLine="420" w:firstLineChars="200"/>
        <w:jc w:val="left"/>
        <w:rPr>
          <w:rFonts w:hint="eastAsia" w:ascii="宋体" w:hAnsi="宋体" w:eastAsia="宋体" w:cs="宋体"/>
          <w:color w:val="auto"/>
          <w:kern w:val="0"/>
          <w:sz w:val="21"/>
          <w:szCs w:val="21"/>
          <w:highlight w:val="none"/>
        </w:rPr>
      </w:pPr>
    </w:p>
    <w:p w14:paraId="4067B784">
      <w:pPr>
        <w:pStyle w:val="1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eastAsia="宋体" w:cs="宋体"/>
          <w:i/>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iCs/>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14:paraId="034214AE">
      <w:pPr>
        <w:pStyle w:val="1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color w:val="auto"/>
          <w:sz w:val="21"/>
          <w:szCs w:val="21"/>
          <w:highlight w:val="none"/>
          <w:lang w:eastAsia="zh-CN"/>
        </w:rPr>
        <w:t>国家税务总局钦州市钦南区税务局食堂食材配送项目</w:t>
      </w:r>
      <w:r>
        <w:rPr>
          <w:rFonts w:hint="eastAsia" w:ascii="宋体" w:hAnsi="宋体" w:eastAsia="宋体" w:cs="宋体"/>
          <w:i/>
          <w:iCs/>
          <w:color w:val="auto"/>
          <w:sz w:val="21"/>
          <w:szCs w:val="21"/>
          <w:highlight w:val="none"/>
          <w:u w:val="single"/>
        </w:rPr>
        <w:t xml:space="preserve">（标的名称） </w:t>
      </w:r>
      <w:r>
        <w:rPr>
          <w:rFonts w:hint="eastAsia" w:ascii="宋体" w:hAnsi="宋体" w:eastAsia="宋体" w:cs="宋体"/>
          <w:color w:val="auto"/>
          <w:sz w:val="21"/>
          <w:szCs w:val="21"/>
          <w:highlight w:val="none"/>
        </w:rPr>
        <w:t>，属于</w:t>
      </w:r>
      <w:r>
        <w:rPr>
          <w:rFonts w:hint="eastAsia" w:hAnsi="宋体" w:cs="宋体"/>
          <w:color w:val="auto"/>
          <w:sz w:val="21"/>
          <w:szCs w:val="21"/>
          <w:highlight w:val="none"/>
          <w:u w:val="single"/>
          <w:lang w:eastAsia="zh-CN"/>
        </w:rPr>
        <w:t>批发业</w:t>
      </w:r>
      <w:r>
        <w:rPr>
          <w:rFonts w:hint="eastAsia" w:ascii="宋体" w:hAnsi="宋体" w:eastAsia="宋体" w:cs="宋体"/>
          <w:i/>
          <w:iCs/>
          <w:color w:val="auto"/>
          <w:sz w:val="21"/>
          <w:szCs w:val="21"/>
          <w:highlight w:val="none"/>
          <w:u w:val="single"/>
        </w:rPr>
        <w:t>（磋商文件中明确的所属行业）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141BD0BB">
      <w:pPr>
        <w:pStyle w:val="1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i/>
          <w:iCs/>
          <w:color w:val="auto"/>
          <w:sz w:val="21"/>
          <w:szCs w:val="21"/>
          <w:highlight w:val="none"/>
          <w:u w:val="single"/>
        </w:rPr>
        <w:t xml:space="preserve"> （标的名称） </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（磋商文件中明确的所属行业）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i/>
          <w:iCs/>
          <w:color w:val="auto"/>
          <w:sz w:val="21"/>
          <w:szCs w:val="21"/>
          <w:highlight w:val="none"/>
          <w:u w:val="single"/>
        </w:rPr>
        <w:t>（企业名称）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iCs/>
          <w:color w:val="auto"/>
          <w:sz w:val="21"/>
          <w:szCs w:val="21"/>
          <w:highlight w:val="none"/>
          <w:u w:val="single"/>
        </w:rPr>
        <w:t>（中型企业、小型企业、微型企业）</w:t>
      </w:r>
      <w:r>
        <w:rPr>
          <w:rFonts w:hint="eastAsia" w:ascii="宋体" w:hAnsi="宋体" w:eastAsia="宋体" w:cs="宋体"/>
          <w:color w:val="auto"/>
          <w:sz w:val="21"/>
          <w:szCs w:val="21"/>
          <w:highlight w:val="none"/>
        </w:rPr>
        <w:t xml:space="preserve">； </w:t>
      </w:r>
    </w:p>
    <w:p w14:paraId="67D80179">
      <w:pPr>
        <w:pStyle w:val="1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328922EA">
      <w:pPr>
        <w:pStyle w:val="1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335E221D">
      <w:pPr>
        <w:pStyle w:val="1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本企业对上述声明内容的真实性负责。如有虚假，将依法承担相应责任。 </w:t>
      </w:r>
    </w:p>
    <w:p w14:paraId="355FF915">
      <w:pPr>
        <w:pStyle w:val="10"/>
        <w:snapToGrid w:val="0"/>
        <w:spacing w:line="360" w:lineRule="auto"/>
        <w:ind w:firstLine="420" w:firstLineChars="200"/>
        <w:rPr>
          <w:rFonts w:hint="eastAsia" w:ascii="宋体" w:hAnsi="宋体" w:eastAsia="宋体" w:cs="宋体"/>
          <w:color w:val="auto"/>
          <w:sz w:val="21"/>
          <w:szCs w:val="21"/>
          <w:highlight w:val="none"/>
        </w:rPr>
      </w:pPr>
    </w:p>
    <w:p w14:paraId="73E4A885">
      <w:pPr>
        <w:pStyle w:val="10"/>
        <w:snapToGrid w:val="0"/>
        <w:spacing w:line="360" w:lineRule="auto"/>
        <w:ind w:firstLine="420" w:firstLineChars="200"/>
        <w:rPr>
          <w:rFonts w:hint="eastAsia" w:ascii="宋体" w:hAnsi="宋体" w:eastAsia="宋体" w:cs="宋体"/>
          <w:color w:val="auto"/>
          <w:sz w:val="21"/>
          <w:szCs w:val="21"/>
          <w:highlight w:val="none"/>
        </w:rPr>
      </w:pPr>
    </w:p>
    <w:p w14:paraId="3A0A45EB">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056F61">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48B0832B">
      <w:pPr>
        <w:pStyle w:val="10"/>
        <w:snapToGrid w:val="0"/>
        <w:spacing w:line="360" w:lineRule="auto"/>
        <w:ind w:firstLine="420" w:firstLineChars="200"/>
        <w:rPr>
          <w:rFonts w:hint="eastAsia" w:ascii="宋体" w:hAnsi="宋体" w:eastAsia="宋体" w:cs="宋体"/>
          <w:color w:val="auto"/>
          <w:sz w:val="21"/>
          <w:szCs w:val="21"/>
          <w:highlight w:val="none"/>
        </w:rPr>
      </w:pPr>
    </w:p>
    <w:p w14:paraId="741D5E37">
      <w:pPr>
        <w:pStyle w:val="10"/>
        <w:snapToGrid w:val="0"/>
        <w:spacing w:line="360" w:lineRule="auto"/>
        <w:ind w:firstLine="420" w:firstLineChars="200"/>
        <w:rPr>
          <w:rFonts w:hint="eastAsia" w:ascii="宋体" w:hAnsi="宋体" w:eastAsia="宋体" w:cs="宋体"/>
          <w:color w:val="auto"/>
          <w:sz w:val="21"/>
          <w:szCs w:val="21"/>
          <w:highlight w:val="none"/>
        </w:rPr>
      </w:pPr>
    </w:p>
    <w:p w14:paraId="43DB40CC">
      <w:pPr>
        <w:widowControl/>
        <w:rPr>
          <w:rFonts w:hint="eastAsia" w:ascii="宋体" w:hAnsi="宋体" w:eastAsia="宋体" w:cs="宋体"/>
          <w:color w:val="auto"/>
          <w:highlight w:val="none"/>
        </w:rPr>
      </w:pPr>
    </w:p>
    <w:p w14:paraId="4A9BC5F1">
      <w:pPr>
        <w:widowControl/>
        <w:jc w:val="left"/>
        <w:rPr>
          <w:rFonts w:hint="eastAsia" w:ascii="宋体" w:hAnsi="宋体" w:eastAsia="宋体" w:cs="宋体"/>
          <w:color w:val="auto"/>
          <w:highlight w:val="none"/>
        </w:rPr>
      </w:pPr>
      <w:r>
        <w:rPr>
          <w:rFonts w:hint="eastAsia" w:ascii="宋体" w:hAnsi="宋体" w:eastAsia="宋体" w:cs="宋体"/>
          <w:color w:val="auto"/>
          <w:kern w:val="0"/>
          <w:sz w:val="18"/>
          <w:szCs w:val="18"/>
          <w:highlight w:val="none"/>
        </w:rPr>
        <w:t>1从业人员、营业收入、资产总额填报上一年度数据，无上一年度数据的新成立企业可不填报。</w:t>
      </w:r>
    </w:p>
    <w:p w14:paraId="1A6FC821">
      <w:pPr>
        <w:pStyle w:val="10"/>
        <w:snapToGrid w:val="0"/>
        <w:spacing w:line="360" w:lineRule="auto"/>
        <w:ind w:firstLine="480" w:firstLineChars="200"/>
        <w:rPr>
          <w:rFonts w:hint="eastAsia" w:ascii="宋体" w:hAnsi="宋体" w:eastAsia="宋体" w:cs="宋体"/>
          <w:color w:val="auto"/>
          <w:sz w:val="24"/>
          <w:szCs w:val="24"/>
          <w:highlight w:val="none"/>
        </w:rPr>
      </w:pPr>
    </w:p>
    <w:p w14:paraId="2D203567">
      <w:pPr>
        <w:pStyle w:val="10"/>
        <w:ind w:firstLine="1680" w:firstLineChars="700"/>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3</w:t>
      </w:r>
      <w:r>
        <w:rPr>
          <w:rFonts w:hint="eastAsia" w:ascii="宋体" w:hAnsi="宋体" w:eastAsia="宋体" w:cs="宋体"/>
          <w:b/>
          <w:bCs/>
          <w:color w:val="auto"/>
          <w:sz w:val="28"/>
          <w:szCs w:val="28"/>
          <w:highlight w:val="none"/>
        </w:rPr>
        <w:t xml:space="preserve">   监狱企业的证明材料文件</w:t>
      </w:r>
    </w:p>
    <w:p w14:paraId="4BF15A19">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说明：</w:t>
      </w:r>
    </w:p>
    <w:p w14:paraId="746A6B23">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1.监狱企业参加</w:t>
      </w:r>
      <w:r>
        <w:rPr>
          <w:rFonts w:hint="eastAsia" w:ascii="宋体" w:hAnsi="宋体" w:eastAsia="宋体" w:cs="宋体"/>
          <w:color w:val="auto"/>
          <w:spacing w:val="6"/>
          <w:sz w:val="21"/>
          <w:szCs w:val="21"/>
          <w:highlight w:val="none"/>
          <w:lang w:eastAsia="zh-CN"/>
        </w:rPr>
        <w:t>本项目</w:t>
      </w:r>
      <w:r>
        <w:rPr>
          <w:rFonts w:hint="eastAsia" w:ascii="宋体" w:hAnsi="宋体" w:eastAsia="宋体" w:cs="宋体"/>
          <w:color w:val="auto"/>
          <w:spacing w:val="6"/>
          <w:sz w:val="21"/>
          <w:szCs w:val="21"/>
          <w:highlight w:val="none"/>
        </w:rPr>
        <w:t>采购活动时，应当提供由省级以上监狱管理局、戒毒管理局（含新疆生产建设兵团）出具的属于监狱企业的证明文件。（</w:t>
      </w:r>
      <w:r>
        <w:rPr>
          <w:rFonts w:hint="eastAsia" w:ascii="宋体" w:hAnsi="宋体" w:eastAsia="宋体" w:cs="宋体"/>
          <w:color w:val="auto"/>
          <w:spacing w:val="6"/>
          <w:sz w:val="21"/>
          <w:szCs w:val="21"/>
          <w:highlight w:val="none"/>
          <w:lang w:eastAsia="zh-CN"/>
        </w:rPr>
        <w:t>供应商</w:t>
      </w:r>
      <w:r>
        <w:rPr>
          <w:rFonts w:hint="eastAsia" w:ascii="宋体" w:hAnsi="宋体" w:eastAsia="宋体" w:cs="宋体"/>
          <w:color w:val="auto"/>
          <w:spacing w:val="6"/>
          <w:sz w:val="21"/>
          <w:szCs w:val="21"/>
          <w:highlight w:val="none"/>
        </w:rPr>
        <w:t>如能够在线查询的材料，请提供查询网址链接，可以不用同时提供纸质材料，原件备查）</w:t>
      </w:r>
    </w:p>
    <w:p w14:paraId="0923768C">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2.未按上述要求提供、填写的，评</w:t>
      </w:r>
      <w:r>
        <w:rPr>
          <w:rFonts w:hint="eastAsia" w:ascii="宋体" w:hAnsi="宋体" w:eastAsia="宋体" w:cs="宋体"/>
          <w:color w:val="auto"/>
          <w:spacing w:val="6"/>
          <w:sz w:val="21"/>
          <w:szCs w:val="21"/>
          <w:highlight w:val="none"/>
          <w:lang w:eastAsia="zh-CN"/>
        </w:rPr>
        <w:t>审</w:t>
      </w:r>
      <w:r>
        <w:rPr>
          <w:rFonts w:hint="eastAsia" w:ascii="宋体" w:hAnsi="宋体" w:eastAsia="宋体" w:cs="宋体"/>
          <w:color w:val="auto"/>
          <w:spacing w:val="6"/>
          <w:sz w:val="21"/>
          <w:szCs w:val="21"/>
          <w:highlight w:val="none"/>
        </w:rPr>
        <w:t>时不予以考虑。</w:t>
      </w:r>
    </w:p>
    <w:p w14:paraId="1506FEA2">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(示例略)</w:t>
      </w:r>
    </w:p>
    <w:p w14:paraId="0E14F018">
      <w:pPr>
        <w:spacing w:line="588" w:lineRule="exact"/>
        <w:ind w:firstLine="444" w:firstLineChars="200"/>
        <w:rPr>
          <w:rFonts w:hint="eastAsia" w:ascii="宋体" w:hAnsi="宋体" w:eastAsia="宋体" w:cs="宋体"/>
          <w:color w:val="auto"/>
          <w:spacing w:val="6"/>
          <w:sz w:val="21"/>
          <w:szCs w:val="21"/>
          <w:highlight w:val="none"/>
        </w:rPr>
      </w:pPr>
    </w:p>
    <w:p w14:paraId="7A44C63D">
      <w:pPr>
        <w:pStyle w:val="10"/>
        <w:topLinePunct/>
        <w:autoSpaceDE w:val="0"/>
        <w:autoSpaceDN w:val="0"/>
        <w:spacing w:line="460" w:lineRule="exact"/>
        <w:jc w:val="center"/>
        <w:rPr>
          <w:rFonts w:hint="eastAsia" w:ascii="宋体" w:hAnsi="宋体" w:eastAsia="宋体" w:cs="宋体"/>
          <w:b/>
          <w:bCs/>
          <w:color w:val="auto"/>
          <w:sz w:val="28"/>
          <w:szCs w:val="28"/>
          <w:highlight w:val="none"/>
        </w:rPr>
      </w:pPr>
    </w:p>
    <w:p w14:paraId="768ED284">
      <w:pPr>
        <w:pStyle w:val="10"/>
        <w:topLinePunct/>
        <w:autoSpaceDE w:val="0"/>
        <w:autoSpaceDN w:val="0"/>
        <w:spacing w:line="46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 xml:space="preserve">4  </w:t>
      </w:r>
      <w:r>
        <w:rPr>
          <w:rFonts w:hint="eastAsia" w:ascii="宋体" w:hAnsi="宋体" w:eastAsia="宋体" w:cs="宋体"/>
          <w:b/>
          <w:bCs/>
          <w:color w:val="auto"/>
          <w:sz w:val="28"/>
          <w:szCs w:val="28"/>
          <w:highlight w:val="none"/>
        </w:rPr>
        <w:t>残疾人福利性单位声明函</w:t>
      </w:r>
    </w:p>
    <w:p w14:paraId="360BE920">
      <w:pPr>
        <w:spacing w:line="588" w:lineRule="exact"/>
        <w:rPr>
          <w:rFonts w:hint="eastAsia" w:ascii="宋体" w:hAnsi="宋体" w:eastAsia="宋体" w:cs="宋体"/>
          <w:b/>
          <w:color w:val="auto"/>
          <w:spacing w:val="6"/>
          <w:sz w:val="30"/>
          <w:szCs w:val="30"/>
          <w:highlight w:val="none"/>
        </w:rPr>
      </w:pPr>
    </w:p>
    <w:p w14:paraId="1082873E">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713DB8">
      <w:pPr>
        <w:spacing w:line="588"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205A8EDF">
      <w:pPr>
        <w:spacing w:line="588" w:lineRule="exact"/>
        <w:ind w:firstLine="444" w:firstLineChars="200"/>
        <w:rPr>
          <w:rFonts w:hint="eastAsia" w:ascii="宋体" w:hAnsi="宋体" w:eastAsia="宋体" w:cs="宋体"/>
          <w:color w:val="auto"/>
          <w:spacing w:val="6"/>
          <w:sz w:val="21"/>
          <w:szCs w:val="21"/>
          <w:highlight w:val="none"/>
        </w:rPr>
      </w:pPr>
    </w:p>
    <w:p w14:paraId="7A25245F">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57D48E2">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2FFC5104">
      <w:pPr>
        <w:topLinePunct/>
        <w:autoSpaceDE w:val="0"/>
        <w:autoSpaceDN w:val="0"/>
        <w:spacing w:line="460" w:lineRule="exact"/>
        <w:jc w:val="center"/>
        <w:rPr>
          <w:rFonts w:hint="eastAsia" w:ascii="宋体" w:hAnsi="宋体" w:eastAsia="宋体" w:cs="宋体"/>
          <w:color w:val="auto"/>
          <w:spacing w:val="6"/>
          <w:sz w:val="21"/>
          <w:szCs w:val="21"/>
          <w:highlight w:val="none"/>
        </w:rPr>
      </w:pPr>
    </w:p>
    <w:p w14:paraId="2C10AA85">
      <w:pPr>
        <w:rPr>
          <w:rFonts w:hint="eastAsia" w:ascii="宋体" w:hAnsi="宋体" w:eastAsia="宋体" w:cs="宋体"/>
          <w:b/>
          <w:bCs/>
          <w:color w:val="auto"/>
          <w:sz w:val="28"/>
          <w:szCs w:val="28"/>
          <w:highlight w:val="none"/>
        </w:rPr>
      </w:pPr>
    </w:p>
    <w:p w14:paraId="7D6D4904">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2"/>
          <w:sz w:val="28"/>
          <w:szCs w:val="28"/>
          <w:highlight w:val="none"/>
        </w:rPr>
        <w:br w:type="page"/>
      </w:r>
    </w:p>
    <w:p w14:paraId="2EC104F9">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格式5  </w:t>
      </w:r>
      <w:r>
        <w:rPr>
          <w:rFonts w:hint="eastAsia" w:ascii="宋体" w:hAnsi="宋体" w:eastAsia="宋体" w:cs="宋体"/>
          <w:b/>
          <w:bCs/>
          <w:color w:val="auto"/>
          <w:sz w:val="28"/>
          <w:szCs w:val="28"/>
          <w:highlight w:val="none"/>
        </w:rPr>
        <w:t xml:space="preserve"> 磋商报价表</w:t>
      </w:r>
    </w:p>
    <w:p w14:paraId="237283EA">
      <w:pPr>
        <w:pStyle w:val="10"/>
        <w:topLinePunct/>
        <w:autoSpaceDE w:val="0"/>
        <w:autoSpaceDN w:val="0"/>
        <w:adjustRightInd w:val="0"/>
        <w:snapToGrid w:val="0"/>
        <w:spacing w:line="360" w:lineRule="auto"/>
        <w:ind w:left="2"/>
        <w:jc w:val="center"/>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rPr>
        <w:t>1.报价一览表（总报价表）</w:t>
      </w:r>
    </w:p>
    <w:p w14:paraId="39EBEE75">
      <w:pPr>
        <w:pStyle w:val="10"/>
        <w:topLinePunct/>
        <w:autoSpaceDE w:val="0"/>
        <w:autoSpaceDN w:val="0"/>
        <w:adjustRightInd w:val="0"/>
        <w:snapToGrid w:val="0"/>
        <w:spacing w:line="360" w:lineRule="auto"/>
        <w:ind w:left="2"/>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lang w:eastAsia="zh-CN"/>
        </w:rPr>
        <w:t>（</w:t>
      </w:r>
      <w:r>
        <w:rPr>
          <w:rFonts w:hint="eastAsia" w:ascii="宋体" w:hAnsi="宋体" w:eastAsia="宋体" w:cs="宋体"/>
          <w:b w:val="0"/>
          <w:bCs w:val="0"/>
          <w:color w:val="auto"/>
          <w:kern w:val="2"/>
          <w:sz w:val="21"/>
          <w:highlight w:val="none"/>
        </w:rPr>
        <w:t>服务类项目适用</w:t>
      </w:r>
      <w:r>
        <w:rPr>
          <w:rFonts w:hint="eastAsia" w:ascii="宋体" w:hAnsi="宋体" w:eastAsia="宋体" w:cs="宋体"/>
          <w:b w:val="0"/>
          <w:bCs w:val="0"/>
          <w:color w:val="auto"/>
          <w:kern w:val="2"/>
          <w:sz w:val="21"/>
          <w:highlight w:val="none"/>
          <w:lang w:eastAsia="zh-CN"/>
        </w:rPr>
        <w:t>）</w:t>
      </w:r>
    </w:p>
    <w:p w14:paraId="11421D24">
      <w:pPr>
        <w:topLinePunct/>
        <w:autoSpaceDE w:val="0"/>
        <w:autoSpaceDN w:val="0"/>
        <w:adjustRightInd w:val="0"/>
        <w:snapToGrid w:val="0"/>
        <w:spacing w:after="0"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3FC70F7">
      <w:pPr>
        <w:adjustRightInd w:val="0"/>
        <w:snapToGrid w:val="0"/>
        <w:spacing w:after="0" w:line="360" w:lineRule="auto"/>
        <w:ind w:right="840"/>
        <w:rPr>
          <w:rFonts w:hint="eastAsia" w:ascii="宋体" w:hAnsi="宋体" w:eastAsia="宋体" w:cs="宋体"/>
          <w:bCs/>
          <w:color w:val="auto"/>
          <w:w w:val="150"/>
          <w:szCs w:val="21"/>
          <w:highlight w:val="none"/>
        </w:rPr>
      </w:pPr>
      <w:r>
        <w:rPr>
          <w:rFonts w:hint="eastAsia" w:ascii="宋体" w:hAnsi="宋体" w:eastAsia="宋体" w:cs="宋体"/>
          <w:color w:val="auto"/>
          <w:highlight w:val="none"/>
        </w:rPr>
        <w:t>采购包号：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价格单位：人民币   元</w:t>
      </w:r>
    </w:p>
    <w:tbl>
      <w:tblPr>
        <w:tblStyle w:val="15"/>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3239"/>
        <w:gridCol w:w="4232"/>
      </w:tblGrid>
      <w:tr w14:paraId="1ED9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861" w:type="dxa"/>
            <w:vAlign w:val="center"/>
          </w:tcPr>
          <w:p w14:paraId="552E49A6">
            <w:pPr>
              <w:adjustRightInd w:val="0"/>
              <w:snapToGrid w:val="0"/>
              <w:spacing w:beforeLines="20" w:afterLines="2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3239" w:type="dxa"/>
            <w:vAlign w:val="center"/>
          </w:tcPr>
          <w:p w14:paraId="26E6C0FA">
            <w:pPr>
              <w:adjustRightInd w:val="0"/>
              <w:snapToGrid w:val="0"/>
              <w:spacing w:beforeLines="20" w:afterLines="20"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项目名称</w:t>
            </w:r>
          </w:p>
        </w:tc>
        <w:tc>
          <w:tcPr>
            <w:tcW w:w="4232" w:type="dxa"/>
            <w:vAlign w:val="center"/>
          </w:tcPr>
          <w:p w14:paraId="6D782DEB">
            <w:pPr>
              <w:adjustRightInd w:val="0"/>
              <w:snapToGrid w:val="0"/>
              <w:spacing w:beforeLines="20" w:afterLines="20"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下浮系数</w:t>
            </w:r>
          </w:p>
        </w:tc>
      </w:tr>
      <w:tr w14:paraId="3578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61" w:type="dxa"/>
            <w:vAlign w:val="center"/>
          </w:tcPr>
          <w:p w14:paraId="699CFBF4">
            <w:pPr>
              <w:adjustRightInd w:val="0"/>
              <w:snapToGrid w:val="0"/>
              <w:spacing w:beforeLines="20" w:afterLines="20"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p>
        </w:tc>
        <w:tc>
          <w:tcPr>
            <w:tcW w:w="3239" w:type="dxa"/>
            <w:vAlign w:val="center"/>
          </w:tcPr>
          <w:p w14:paraId="0A8335A9">
            <w:pPr>
              <w:adjustRightInd w:val="0"/>
              <w:snapToGrid w:val="0"/>
              <w:spacing w:after="0" w:line="360" w:lineRule="auto"/>
              <w:jc w:val="center"/>
              <w:rPr>
                <w:rFonts w:hint="eastAsia" w:ascii="宋体" w:hAnsi="宋体" w:eastAsia="宋体" w:cs="宋体"/>
                <w:color w:val="auto"/>
                <w:sz w:val="21"/>
                <w:szCs w:val="21"/>
                <w:highlight w:val="none"/>
              </w:rPr>
            </w:pPr>
          </w:p>
        </w:tc>
        <w:tc>
          <w:tcPr>
            <w:tcW w:w="4232" w:type="dxa"/>
            <w:vAlign w:val="center"/>
          </w:tcPr>
          <w:p w14:paraId="7D0C1626">
            <w:pPr>
              <w:adjustRightInd w:val="0"/>
              <w:snapToGrid w:val="0"/>
              <w:spacing w:beforeLines="20" w:afterLines="20" w:line="240" w:lineRule="auto"/>
              <w:jc w:val="center"/>
              <w:rPr>
                <w:rFonts w:hint="eastAsia" w:ascii="宋体" w:hAnsi="宋体" w:eastAsia="宋体" w:cs="宋体"/>
                <w:b/>
                <w:color w:val="auto"/>
                <w:sz w:val="21"/>
                <w:szCs w:val="21"/>
                <w:highlight w:val="none"/>
                <w:u w:val="single"/>
                <w:lang w:val="en-US" w:eastAsia="zh-CN"/>
              </w:rPr>
            </w:pPr>
          </w:p>
        </w:tc>
      </w:tr>
      <w:tr w14:paraId="04E9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100" w:type="dxa"/>
            <w:gridSpan w:val="2"/>
            <w:vAlign w:val="center"/>
          </w:tcPr>
          <w:p w14:paraId="596016C9">
            <w:pPr>
              <w:adjustRightInd w:val="0"/>
              <w:snapToGrid w:val="0"/>
              <w:spacing w:beforeLines="20" w:afterLines="2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w:t>
            </w:r>
          </w:p>
        </w:tc>
        <w:tc>
          <w:tcPr>
            <w:tcW w:w="4232" w:type="dxa"/>
            <w:vAlign w:val="center"/>
          </w:tcPr>
          <w:p w14:paraId="06E51861">
            <w:pPr>
              <w:adjustRightInd w:val="0"/>
              <w:snapToGrid w:val="0"/>
              <w:spacing w:beforeLines="20" w:afterLines="20"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1年</w:t>
            </w:r>
          </w:p>
        </w:tc>
      </w:tr>
    </w:tbl>
    <w:p w14:paraId="24ADAFC2">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795E6345">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1.本项目总价及分项报价均不接受任何形式的赠送、“零”报价和折扣报价。</w:t>
      </w:r>
    </w:p>
    <w:p w14:paraId="4BC372F7">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2.本项目执行中所发生的所有费用均计入总报价中，采购人不再另行支付其他任何费用。</w:t>
      </w:r>
    </w:p>
    <w:p w14:paraId="0D33A8F6">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3.供应商应根据《</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Cs w:val="21"/>
          <w:highlight w:val="none"/>
        </w:rPr>
        <w:t>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技术部分》相关要求填报。</w:t>
      </w:r>
    </w:p>
    <w:p w14:paraId="26337F95">
      <w:pPr>
        <w:topLinePunct/>
        <w:autoSpaceDE w:val="0"/>
        <w:autoSpaceDN w:val="0"/>
        <w:adjustRightInd w:val="0"/>
        <w:snapToGrid w:val="0"/>
        <w:spacing w:after="0" w:line="360" w:lineRule="auto"/>
        <w:ind w:firstLine="525" w:firstLineChars="250"/>
        <w:jc w:val="left"/>
        <w:rPr>
          <w:rFonts w:hint="eastAsia" w:ascii="宋体" w:hAnsi="宋体" w:eastAsia="宋体" w:cs="宋体"/>
          <w:color w:val="auto"/>
          <w:sz w:val="21"/>
          <w:szCs w:val="21"/>
          <w:highlight w:val="none"/>
        </w:rPr>
      </w:pPr>
    </w:p>
    <w:p w14:paraId="610A6CFB">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C2640E5">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70BDA3D">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4651400C">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12BF1B59">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格式6  </w:t>
      </w:r>
      <w:r>
        <w:rPr>
          <w:rFonts w:hint="eastAsia" w:ascii="宋体" w:hAnsi="宋体" w:eastAsia="宋体" w:cs="宋体"/>
          <w:b/>
          <w:bCs/>
          <w:color w:val="auto"/>
          <w:sz w:val="28"/>
          <w:szCs w:val="28"/>
          <w:highlight w:val="none"/>
        </w:rPr>
        <w:t>授权委托书</w:t>
      </w:r>
    </w:p>
    <w:p w14:paraId="14FC2D96">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-1法定代表人授权委托书</w:t>
      </w:r>
    </w:p>
    <w:p w14:paraId="28D3F32B">
      <w:pPr>
        <w:adjustRightInd w:val="0"/>
        <w:snapToGrid w:val="0"/>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适用于授权代表参加磋商</w:t>
      </w:r>
      <w:r>
        <w:rPr>
          <w:rFonts w:hint="eastAsia" w:ascii="宋体" w:hAnsi="宋体" w:eastAsia="宋体" w:cs="宋体"/>
          <w:b w:val="0"/>
          <w:bCs w:val="0"/>
          <w:color w:val="auto"/>
          <w:sz w:val="21"/>
          <w:szCs w:val="21"/>
          <w:highlight w:val="none"/>
          <w:lang w:eastAsia="zh-CN"/>
        </w:rPr>
        <w:t>）</w:t>
      </w:r>
    </w:p>
    <w:p w14:paraId="2F11AEFE">
      <w:pPr>
        <w:pStyle w:val="10"/>
        <w:rPr>
          <w:rFonts w:hint="eastAsia" w:ascii="宋体" w:hAnsi="宋体" w:eastAsia="宋体" w:cs="宋体"/>
          <w:color w:val="auto"/>
          <w:highlight w:val="none"/>
        </w:rPr>
      </w:pPr>
    </w:p>
    <w:p w14:paraId="2A1BE5FD">
      <w:pPr>
        <w:pStyle w:val="1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致____________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采购人或采购代理机构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3DEFA23">
      <w:pPr>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本授权书声明：注册于___________ （供应商住址）的___________（供应商名称）法定代表人_______（姓名、职务）代表本公司授权_______（授权代表姓名、职务）为本公司的合法磋商代表，就贵方组织的《</w:t>
      </w:r>
      <w:r>
        <w:rPr>
          <w:rFonts w:hint="eastAsia" w:ascii="宋体" w:hAnsi="宋体" w:eastAsia="宋体" w:cs="宋体"/>
          <w:color w:val="auto"/>
          <w:sz w:val="21"/>
          <w:szCs w:val="21"/>
          <w:highlight w:val="none"/>
          <w:u w:val="single"/>
        </w:rPr>
        <w:t xml:space="preserve">          项目</w:t>
      </w:r>
      <w:r>
        <w:rPr>
          <w:rFonts w:hint="eastAsia" w:ascii="宋体" w:hAnsi="宋体" w:eastAsia="宋体" w:cs="宋体"/>
          <w:color w:val="auto"/>
          <w:sz w:val="21"/>
          <w:szCs w:val="21"/>
          <w:highlight w:val="none"/>
        </w:rPr>
        <w:t>》（项目编号：_______）</w:t>
      </w:r>
      <w:r>
        <w:rPr>
          <w:rFonts w:hint="eastAsia" w:ascii="宋体" w:hAnsi="宋体" w:eastAsia="宋体" w:cs="宋体"/>
          <w:color w:val="auto"/>
          <w:kern w:val="0"/>
          <w:sz w:val="21"/>
          <w:szCs w:val="21"/>
          <w:highlight w:val="none"/>
        </w:rPr>
        <w:t>磋商、澄清、</w:t>
      </w:r>
      <w:r>
        <w:rPr>
          <w:rFonts w:hint="eastAsia" w:ascii="宋体" w:hAnsi="宋体" w:eastAsia="宋体" w:cs="宋体"/>
          <w:color w:val="auto"/>
          <w:sz w:val="21"/>
          <w:szCs w:val="21"/>
          <w:highlight w:val="none"/>
        </w:rPr>
        <w:t>合同的执行，以本公司名义处理一切与之有关的事务。</w:t>
      </w:r>
    </w:p>
    <w:p w14:paraId="3093807F">
      <w:pPr>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本授权书于______年______月_____日生效，特此声明。</w:t>
      </w:r>
    </w:p>
    <w:p w14:paraId="67A8DDD7">
      <w:pPr>
        <w:pStyle w:val="1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授权代表无转委托权。</w:t>
      </w:r>
    </w:p>
    <w:p w14:paraId="78772A08">
      <w:pPr>
        <w:pStyle w:val="10"/>
        <w:adjustRightInd w:val="0"/>
        <w:snapToGrid w:val="0"/>
        <w:spacing w:line="360" w:lineRule="auto"/>
        <w:rPr>
          <w:rFonts w:hint="eastAsia" w:ascii="宋体" w:hAnsi="宋体" w:eastAsia="宋体" w:cs="宋体"/>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1250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14:paraId="50D66397">
            <w:pPr>
              <w:pStyle w:val="10"/>
              <w:adjustRightInd w:val="0"/>
              <w:snapToGrid w:val="0"/>
              <w:spacing w:line="360" w:lineRule="auto"/>
              <w:jc w:val="center"/>
              <w:rPr>
                <w:rFonts w:hint="eastAsia" w:ascii="宋体" w:hAnsi="宋体" w:eastAsia="宋体" w:cs="宋体"/>
                <w:color w:val="auto"/>
                <w:highlight w:val="none"/>
              </w:rPr>
            </w:pPr>
          </w:p>
          <w:p w14:paraId="5DC0C1AC">
            <w:pPr>
              <w:pStyle w:val="10"/>
              <w:adjustRightInd w:val="0"/>
              <w:snapToGrid w:val="0"/>
              <w:spacing w:line="360" w:lineRule="auto"/>
              <w:jc w:val="center"/>
              <w:rPr>
                <w:rFonts w:hint="eastAsia" w:ascii="宋体" w:hAnsi="宋体" w:eastAsia="宋体" w:cs="宋体"/>
                <w:color w:val="auto"/>
                <w:highlight w:val="none"/>
              </w:rPr>
            </w:pPr>
          </w:p>
          <w:p w14:paraId="010AFB45">
            <w:pPr>
              <w:pStyle w:val="10"/>
              <w:adjustRightInd w:val="0"/>
              <w:snapToGrid w:val="0"/>
              <w:spacing w:line="360" w:lineRule="auto"/>
              <w:jc w:val="center"/>
              <w:rPr>
                <w:rFonts w:hint="eastAsia" w:ascii="宋体" w:hAnsi="宋体" w:eastAsia="宋体" w:cs="宋体"/>
                <w:color w:val="auto"/>
                <w:highlight w:val="none"/>
              </w:rPr>
            </w:pPr>
          </w:p>
          <w:p w14:paraId="1F6B90E3">
            <w:pPr>
              <w:pStyle w:val="1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highlight w:val="none"/>
              </w:rPr>
              <w:t>授权代表</w:t>
            </w:r>
            <w:r>
              <w:rPr>
                <w:rFonts w:hint="eastAsia" w:ascii="宋体" w:hAnsi="宋体" w:eastAsia="宋体" w:cs="宋体"/>
                <w:color w:val="auto"/>
                <w:highlight w:val="none"/>
              </w:rPr>
              <w:t>身份证复印件</w:t>
            </w:r>
          </w:p>
          <w:p w14:paraId="6EC14DC6">
            <w:pPr>
              <w:pStyle w:val="10"/>
              <w:adjustRightInd w:val="0"/>
              <w:snapToGrid w:val="0"/>
              <w:spacing w:line="360" w:lineRule="auto"/>
              <w:jc w:val="center"/>
              <w:rPr>
                <w:rFonts w:hint="eastAsia" w:ascii="宋体" w:hAnsi="宋体" w:eastAsia="宋体" w:cs="宋体"/>
                <w:color w:val="auto"/>
                <w:highlight w:val="none"/>
              </w:rPr>
            </w:pPr>
          </w:p>
          <w:p w14:paraId="68B1C8E6">
            <w:pPr>
              <w:pStyle w:val="10"/>
              <w:adjustRightInd w:val="0"/>
              <w:snapToGrid w:val="0"/>
              <w:spacing w:line="360" w:lineRule="auto"/>
              <w:jc w:val="center"/>
              <w:rPr>
                <w:rFonts w:hint="eastAsia" w:ascii="宋体" w:hAnsi="宋体" w:eastAsia="宋体" w:cs="宋体"/>
                <w:color w:val="auto"/>
                <w:highlight w:val="none"/>
              </w:rPr>
            </w:pPr>
          </w:p>
          <w:p w14:paraId="4445A6CA">
            <w:pPr>
              <w:pStyle w:val="10"/>
              <w:adjustRightInd w:val="0"/>
              <w:snapToGrid w:val="0"/>
              <w:spacing w:line="360" w:lineRule="auto"/>
              <w:jc w:val="center"/>
              <w:rPr>
                <w:rFonts w:hint="eastAsia" w:ascii="宋体" w:hAnsi="宋体" w:eastAsia="宋体" w:cs="宋体"/>
                <w:color w:val="auto"/>
                <w:highlight w:val="none"/>
              </w:rPr>
            </w:pPr>
          </w:p>
        </w:tc>
      </w:tr>
    </w:tbl>
    <w:p w14:paraId="581F8EFC">
      <w:pPr>
        <w:pStyle w:val="10"/>
        <w:adjustRightInd w:val="0"/>
        <w:snapToGrid w:val="0"/>
        <w:spacing w:line="360" w:lineRule="auto"/>
        <w:jc w:val="left"/>
        <w:rPr>
          <w:rFonts w:hint="eastAsia" w:ascii="宋体" w:hAnsi="宋体" w:eastAsia="宋体" w:cs="宋体"/>
          <w:color w:val="auto"/>
          <w:highlight w:val="none"/>
        </w:rPr>
      </w:pPr>
    </w:p>
    <w:p w14:paraId="48B8DED6">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供应商名称（公章）：________________</w:t>
      </w:r>
    </w:p>
    <w:p w14:paraId="3D2ADB8D">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法定代表人（签字）：________________</w:t>
      </w:r>
    </w:p>
    <w:p w14:paraId="10DDEEFC">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授权代表（签字）：________________</w:t>
      </w:r>
    </w:p>
    <w:p w14:paraId="416DD49D">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授权代表联系电话：____________</w:t>
      </w:r>
    </w:p>
    <w:p w14:paraId="69F47BC6">
      <w:pPr>
        <w:tabs>
          <w:tab w:val="left" w:pos="1230"/>
        </w:tabs>
        <w:topLinePunct/>
        <w:autoSpaceDE w:val="0"/>
        <w:autoSpaceDN w:val="0"/>
        <w:adjustRightInd w:val="0"/>
        <w:snapToGrid w:val="0"/>
        <w:spacing w:after="0" w:line="360" w:lineRule="auto"/>
        <w:ind w:left="3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日期：____________</w:t>
      </w:r>
    </w:p>
    <w:p w14:paraId="24F56233">
      <w:pPr>
        <w:topLinePunct/>
        <w:autoSpaceDE w:val="0"/>
        <w:autoSpaceDN w:val="0"/>
        <w:adjustRightInd w:val="0"/>
        <w:snapToGrid w:val="0"/>
        <w:spacing w:after="0" w:line="360" w:lineRule="auto"/>
        <w:jc w:val="left"/>
        <w:rPr>
          <w:rFonts w:hint="eastAsia" w:ascii="宋体" w:hAnsi="宋体" w:eastAsia="宋体" w:cs="宋体"/>
          <w:color w:val="auto"/>
          <w:highlight w:val="none"/>
        </w:rPr>
      </w:pPr>
    </w:p>
    <w:p w14:paraId="042B4585">
      <w:pPr>
        <w:topLinePunct/>
        <w:autoSpaceDE w:val="0"/>
        <w:autoSpaceDN w:val="0"/>
        <w:adjustRightInd w:val="0"/>
        <w:snapToGrid w:val="0"/>
        <w:spacing w:after="0"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14:paraId="7F23B358">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如由授权代表参与磋商活动的，须同时提供《法定代表人授权委托书》和授权代表身份证复印件。《法定代表人授权委托书》应当按本格式要求加盖与供应商名称全称一致的标准公章，并签署法定代表人或授权代表的全名。</w:t>
      </w:r>
    </w:p>
    <w:p w14:paraId="2662E562">
      <w:pPr>
        <w:adjustRightInd w:val="0"/>
        <w:snapToGrid w:val="0"/>
        <w:spacing w:after="0"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-2法定代表人身份证明复印件</w:t>
      </w:r>
    </w:p>
    <w:p w14:paraId="33F6CEF4">
      <w:pPr>
        <w:adjustRightInd w:val="0"/>
        <w:snapToGrid w:val="0"/>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适用于法定代表人参加磋商</w:t>
      </w:r>
      <w:r>
        <w:rPr>
          <w:rFonts w:hint="eastAsia" w:ascii="宋体" w:hAnsi="宋体" w:eastAsia="宋体" w:cs="宋体"/>
          <w:b w:val="0"/>
          <w:bCs w:val="0"/>
          <w:color w:val="auto"/>
          <w:sz w:val="21"/>
          <w:szCs w:val="21"/>
          <w:highlight w:val="none"/>
          <w:lang w:eastAsia="zh-CN"/>
        </w:rPr>
        <w:t>）</w:t>
      </w:r>
    </w:p>
    <w:p w14:paraId="033553F0">
      <w:pPr>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p>
    <w:tbl>
      <w:tblPr>
        <w:tblStyle w:val="15"/>
        <w:tblW w:w="7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9"/>
      </w:tblGrid>
      <w:tr w14:paraId="2D9C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9" w:type="dxa"/>
            <w:vAlign w:val="center"/>
          </w:tcPr>
          <w:p w14:paraId="64285E73">
            <w:pPr>
              <w:pStyle w:val="10"/>
              <w:adjustRightInd w:val="0"/>
              <w:snapToGrid w:val="0"/>
              <w:spacing w:line="360" w:lineRule="auto"/>
              <w:jc w:val="center"/>
              <w:rPr>
                <w:rFonts w:hint="eastAsia" w:ascii="宋体" w:hAnsi="宋体" w:eastAsia="宋体" w:cs="宋体"/>
                <w:color w:val="auto"/>
                <w:highlight w:val="none"/>
              </w:rPr>
            </w:pPr>
          </w:p>
          <w:p w14:paraId="1E378477">
            <w:pPr>
              <w:pStyle w:val="10"/>
              <w:adjustRightInd w:val="0"/>
              <w:snapToGrid w:val="0"/>
              <w:spacing w:line="360" w:lineRule="auto"/>
              <w:jc w:val="center"/>
              <w:rPr>
                <w:rFonts w:hint="eastAsia" w:ascii="宋体" w:hAnsi="宋体" w:eastAsia="宋体" w:cs="宋体"/>
                <w:color w:val="auto"/>
                <w:highlight w:val="none"/>
              </w:rPr>
            </w:pPr>
          </w:p>
          <w:p w14:paraId="0763A677">
            <w:pPr>
              <w:pStyle w:val="10"/>
              <w:adjustRightInd w:val="0"/>
              <w:snapToGrid w:val="0"/>
              <w:spacing w:line="360" w:lineRule="auto"/>
              <w:jc w:val="center"/>
              <w:rPr>
                <w:rFonts w:hint="eastAsia" w:ascii="宋体" w:hAnsi="宋体" w:eastAsia="宋体" w:cs="宋体"/>
                <w:color w:val="auto"/>
                <w:highlight w:val="none"/>
              </w:rPr>
            </w:pPr>
          </w:p>
          <w:p w14:paraId="11D85236">
            <w:pPr>
              <w:pStyle w:val="10"/>
              <w:adjustRightInd w:val="0"/>
              <w:snapToGrid w:val="0"/>
              <w:spacing w:line="360" w:lineRule="auto"/>
              <w:jc w:val="center"/>
              <w:rPr>
                <w:rFonts w:hint="eastAsia" w:ascii="宋体" w:hAnsi="宋体" w:eastAsia="宋体" w:cs="宋体"/>
                <w:color w:val="auto"/>
                <w:highlight w:val="none"/>
              </w:rPr>
            </w:pPr>
          </w:p>
          <w:p w14:paraId="7C937B40">
            <w:pPr>
              <w:pStyle w:val="1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法定代表人身份证明复印件</w:t>
            </w:r>
          </w:p>
          <w:p w14:paraId="0775E4F2">
            <w:pPr>
              <w:pStyle w:val="10"/>
              <w:adjustRightInd w:val="0"/>
              <w:snapToGrid w:val="0"/>
              <w:spacing w:line="360" w:lineRule="auto"/>
              <w:jc w:val="center"/>
              <w:rPr>
                <w:rFonts w:hint="eastAsia" w:ascii="宋体" w:hAnsi="宋体" w:eastAsia="宋体" w:cs="宋体"/>
                <w:color w:val="auto"/>
                <w:highlight w:val="none"/>
              </w:rPr>
            </w:pPr>
          </w:p>
          <w:p w14:paraId="7FB0D137">
            <w:pPr>
              <w:pStyle w:val="10"/>
              <w:adjustRightInd w:val="0"/>
              <w:snapToGrid w:val="0"/>
              <w:spacing w:line="360" w:lineRule="auto"/>
              <w:jc w:val="center"/>
              <w:rPr>
                <w:rFonts w:hint="eastAsia" w:ascii="宋体" w:hAnsi="宋体" w:eastAsia="宋体" w:cs="宋体"/>
                <w:color w:val="auto"/>
                <w:highlight w:val="none"/>
              </w:rPr>
            </w:pPr>
          </w:p>
          <w:p w14:paraId="34BCC05A">
            <w:pPr>
              <w:pStyle w:val="10"/>
              <w:adjustRightInd w:val="0"/>
              <w:snapToGrid w:val="0"/>
              <w:spacing w:line="360" w:lineRule="auto"/>
              <w:jc w:val="center"/>
              <w:rPr>
                <w:rFonts w:hint="eastAsia" w:ascii="宋体" w:hAnsi="宋体" w:eastAsia="宋体" w:cs="宋体"/>
                <w:color w:val="auto"/>
                <w:highlight w:val="none"/>
              </w:rPr>
            </w:pPr>
          </w:p>
          <w:p w14:paraId="419665D2">
            <w:pPr>
              <w:pStyle w:val="10"/>
              <w:adjustRightInd w:val="0"/>
              <w:snapToGrid w:val="0"/>
              <w:spacing w:line="360" w:lineRule="auto"/>
              <w:jc w:val="center"/>
              <w:rPr>
                <w:rFonts w:hint="eastAsia" w:ascii="宋体" w:hAnsi="宋体" w:eastAsia="宋体" w:cs="宋体"/>
                <w:color w:val="auto"/>
                <w:highlight w:val="none"/>
              </w:rPr>
            </w:pPr>
          </w:p>
        </w:tc>
      </w:tr>
    </w:tbl>
    <w:p w14:paraId="1939A098">
      <w:pPr>
        <w:topLinePunct/>
        <w:autoSpaceDE w:val="0"/>
        <w:autoSpaceDN w:val="0"/>
        <w:adjustRightInd w:val="0"/>
        <w:snapToGrid w:val="0"/>
        <w:spacing w:after="0" w:line="360" w:lineRule="auto"/>
        <w:jc w:val="left"/>
        <w:rPr>
          <w:rFonts w:hint="eastAsia" w:ascii="宋体" w:hAnsi="宋体" w:eastAsia="宋体" w:cs="宋体"/>
          <w:color w:val="auto"/>
          <w:highlight w:val="none"/>
        </w:rPr>
      </w:pPr>
    </w:p>
    <w:p w14:paraId="31A0D3CA">
      <w:pPr>
        <w:topLinePunct/>
        <w:autoSpaceDE w:val="0"/>
        <w:autoSpaceDN w:val="0"/>
        <w:adjustRightInd w:val="0"/>
        <w:snapToGrid w:val="0"/>
        <w:spacing w:after="0"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14:paraId="7F18386B">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供应商如由</w:t>
      </w:r>
      <w:r>
        <w:rPr>
          <w:rFonts w:hint="eastAsia" w:ascii="宋体" w:hAnsi="宋体" w:eastAsia="宋体" w:cs="宋体"/>
          <w:b/>
          <w:bCs/>
          <w:color w:val="auto"/>
          <w:highlight w:val="none"/>
        </w:rPr>
        <w:t>法定代表人作为磋商代表参与磋商活动的，仅</w:t>
      </w:r>
      <w:r>
        <w:rPr>
          <w:rFonts w:hint="eastAsia" w:ascii="宋体" w:hAnsi="宋体" w:eastAsia="宋体" w:cs="宋体"/>
          <w:b/>
          <w:bCs/>
          <w:color w:val="auto"/>
          <w:highlight w:val="none"/>
          <w:lang w:eastAsia="zh-CN"/>
        </w:rPr>
        <w:t>需</w:t>
      </w:r>
      <w:r>
        <w:rPr>
          <w:rFonts w:hint="eastAsia" w:ascii="宋体" w:hAnsi="宋体" w:eastAsia="宋体" w:cs="宋体"/>
          <w:b/>
          <w:bCs/>
          <w:color w:val="auto"/>
          <w:highlight w:val="none"/>
        </w:rPr>
        <w:t>提供法定代表人身份证复印件</w:t>
      </w:r>
      <w:r>
        <w:rPr>
          <w:rFonts w:hint="eastAsia" w:ascii="宋体" w:hAnsi="宋体" w:eastAsia="宋体" w:cs="宋体"/>
          <w:color w:val="auto"/>
          <w:highlight w:val="none"/>
        </w:rPr>
        <w:t>。</w:t>
      </w:r>
    </w:p>
    <w:p w14:paraId="49404AD4">
      <w:pPr>
        <w:pStyle w:val="10"/>
        <w:ind w:firstLine="420" w:firstLineChars="200"/>
        <w:rPr>
          <w:rFonts w:hint="eastAsia" w:ascii="宋体" w:hAnsi="宋体" w:eastAsia="宋体" w:cs="宋体"/>
          <w:color w:val="auto"/>
          <w:highlight w:val="none"/>
        </w:rPr>
      </w:pPr>
    </w:p>
    <w:p w14:paraId="74D81242">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-3自然人授权委托书</w:t>
      </w:r>
    </w:p>
    <w:p w14:paraId="59668220">
      <w:pPr>
        <w:adjustRightInd w:val="0"/>
        <w:snapToGrid w:val="0"/>
        <w:spacing w:after="0" w:line="36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适用于自然人参加磋商</w:t>
      </w:r>
      <w:r>
        <w:rPr>
          <w:rFonts w:hint="eastAsia" w:ascii="宋体" w:hAnsi="宋体" w:eastAsia="宋体" w:cs="宋体"/>
          <w:b w:val="0"/>
          <w:bCs w:val="0"/>
          <w:color w:val="auto"/>
          <w:sz w:val="21"/>
          <w:szCs w:val="21"/>
          <w:highlight w:val="none"/>
          <w:lang w:eastAsia="zh-CN"/>
        </w:rPr>
        <w:t>）</w:t>
      </w:r>
    </w:p>
    <w:p w14:paraId="2B2DB35E">
      <w:pPr>
        <w:pStyle w:val="10"/>
        <w:rPr>
          <w:rFonts w:hint="eastAsia" w:ascii="宋体" w:hAnsi="宋体" w:eastAsia="宋体" w:cs="宋体"/>
          <w:b w:val="0"/>
          <w:bCs w:val="0"/>
          <w:color w:val="auto"/>
          <w:sz w:val="21"/>
          <w:szCs w:val="21"/>
          <w:highlight w:val="none"/>
        </w:rPr>
      </w:pPr>
    </w:p>
    <w:p w14:paraId="07309C12">
      <w:pPr>
        <w:pStyle w:val="1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致____________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采购人或采购代理机构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BAA0D89">
      <w:pPr>
        <w:pStyle w:val="1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本授权书声明：我________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姓名、身份证号码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系自然人，现授权委托____________</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姓名、身份证号码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以本人名义参加《</w:t>
      </w:r>
      <w:r>
        <w:rPr>
          <w:rFonts w:hint="eastAsia" w:ascii="宋体" w:hAnsi="宋体" w:eastAsia="宋体" w:cs="宋体"/>
          <w:color w:val="auto"/>
          <w:sz w:val="21"/>
          <w:szCs w:val="21"/>
          <w:highlight w:val="none"/>
          <w:u w:val="single"/>
        </w:rPr>
        <w:t xml:space="preserve">          项目</w:t>
      </w:r>
      <w:r>
        <w:rPr>
          <w:rFonts w:hint="eastAsia" w:ascii="宋体" w:hAnsi="宋体" w:eastAsia="宋体" w:cs="宋体"/>
          <w:color w:val="auto"/>
          <w:sz w:val="21"/>
          <w:szCs w:val="21"/>
          <w:highlight w:val="none"/>
        </w:rPr>
        <w:t>》（项目编号：    ）的磋商活动，并代表本人全权办理针对上述项目的磋商、签约等具体事务和签署相关文件。</w:t>
      </w:r>
    </w:p>
    <w:p w14:paraId="1AB28757">
      <w:pPr>
        <w:pStyle w:val="1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本人对被授权人的签字事项负全部责任。</w:t>
      </w:r>
    </w:p>
    <w:p w14:paraId="50F23D56">
      <w:pPr>
        <w:pStyle w:val="1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授权委托代理期限：从　　年　　月　　日起至　　年　　月　　日止。</w:t>
      </w:r>
    </w:p>
    <w:p w14:paraId="5B436E6B">
      <w:pPr>
        <w:pStyle w:val="10"/>
        <w:spacing w:line="360" w:lineRule="auto"/>
        <w:ind w:firstLine="420" w:firstLineChars="200"/>
        <w:rPr>
          <w:rFonts w:hint="eastAsia" w:ascii="宋体" w:hAnsi="宋体" w:eastAsia="宋体" w:cs="宋体"/>
          <w:color w:val="auto"/>
          <w:sz w:val="21"/>
          <w:szCs w:val="21"/>
          <w:highlight w:val="none"/>
        </w:rPr>
      </w:pPr>
    </w:p>
    <w:p w14:paraId="3D4FB0DF">
      <w:pPr>
        <w:pStyle w:val="1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代理人无转委托权，特此委托。</w:t>
      </w:r>
    </w:p>
    <w:p w14:paraId="6EDB91C9">
      <w:pPr>
        <w:pStyle w:val="10"/>
        <w:spacing w:line="360" w:lineRule="auto"/>
        <w:ind w:firstLine="420" w:firstLineChars="200"/>
        <w:rPr>
          <w:rFonts w:hint="eastAsia" w:ascii="宋体" w:hAnsi="宋体" w:eastAsia="宋体" w:cs="宋体"/>
          <w:color w:val="auto"/>
          <w:sz w:val="21"/>
          <w:szCs w:val="21"/>
          <w:highlight w:val="none"/>
        </w:rPr>
      </w:pPr>
    </w:p>
    <w:p w14:paraId="75E17539">
      <w:pPr>
        <w:pStyle w:val="1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14:paraId="65716C3F">
      <w:pPr>
        <w:pStyle w:val="10"/>
        <w:spacing w:line="360" w:lineRule="auto"/>
        <w:ind w:firstLine="420" w:firstLineChars="200"/>
        <w:rPr>
          <w:rFonts w:hint="eastAsia" w:ascii="宋体" w:hAnsi="宋体" w:eastAsia="宋体" w:cs="宋体"/>
          <w:color w:val="auto"/>
          <w:sz w:val="21"/>
          <w:szCs w:val="21"/>
          <w:highlight w:val="none"/>
        </w:rPr>
      </w:pPr>
    </w:p>
    <w:p w14:paraId="55B08D52">
      <w:pPr>
        <w:pStyle w:val="1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自然人签字并在签名处加盖食指指印：　　　　年　　月　　日</w:t>
      </w:r>
    </w:p>
    <w:p w14:paraId="2DA9B90A">
      <w:pPr>
        <w:pStyle w:val="10"/>
        <w:spacing w:line="360" w:lineRule="auto"/>
        <w:ind w:firstLine="420" w:firstLineChars="200"/>
        <w:rPr>
          <w:rFonts w:hint="eastAsia" w:ascii="宋体" w:hAnsi="宋体" w:eastAsia="宋体" w:cs="宋体"/>
          <w:color w:val="auto"/>
          <w:sz w:val="21"/>
          <w:szCs w:val="21"/>
          <w:highlight w:val="none"/>
        </w:rPr>
      </w:pPr>
    </w:p>
    <w:p w14:paraId="07CCBCE0">
      <w:pPr>
        <w:topLinePunct/>
        <w:autoSpaceDE w:val="0"/>
        <w:autoSpaceDN w:val="0"/>
        <w:adjustRightInd w:val="0"/>
        <w:snapToGrid w:val="0"/>
        <w:spacing w:after="0" w:line="360" w:lineRule="auto"/>
        <w:jc w:val="left"/>
        <w:rPr>
          <w:rFonts w:hint="eastAsia" w:ascii="宋体" w:hAnsi="宋体" w:eastAsia="宋体" w:cs="宋体"/>
          <w:color w:val="auto"/>
          <w:sz w:val="21"/>
          <w:szCs w:val="21"/>
          <w:highlight w:val="none"/>
        </w:rPr>
      </w:pPr>
    </w:p>
    <w:p w14:paraId="46487170">
      <w:pPr>
        <w:topLinePunct/>
        <w:autoSpaceDE w:val="0"/>
        <w:autoSpaceDN w:val="0"/>
        <w:adjustRightInd w:val="0"/>
        <w:snapToGrid w:val="0"/>
        <w:spacing w:after="0" w:line="360" w:lineRule="auto"/>
        <w:jc w:val="left"/>
        <w:rPr>
          <w:rFonts w:hint="eastAsia" w:ascii="宋体" w:hAnsi="宋体" w:eastAsia="宋体" w:cs="宋体"/>
          <w:i/>
          <w:iCs/>
          <w:color w:val="auto"/>
          <w:highlight w:val="none"/>
        </w:rPr>
      </w:pPr>
      <w:r>
        <w:rPr>
          <w:rFonts w:hint="eastAsia" w:ascii="宋体" w:hAnsi="宋体" w:eastAsia="宋体" w:cs="宋体"/>
          <w:color w:val="auto"/>
          <w:highlight w:val="none"/>
        </w:rPr>
        <w:t>特别说明：</w:t>
      </w:r>
    </w:p>
    <w:p w14:paraId="4108D94E">
      <w:pPr>
        <w:tabs>
          <w:tab w:val="left" w:pos="312"/>
        </w:tabs>
        <w:topLinePunct/>
        <w:autoSpaceDE w:val="0"/>
        <w:autoSpaceDN w:val="0"/>
        <w:adjustRightInd w:val="0"/>
        <w:snapToGrid w:val="0"/>
        <w:spacing w:after="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供应商如由</w:t>
      </w:r>
      <w:r>
        <w:rPr>
          <w:rFonts w:hint="eastAsia" w:ascii="宋体" w:hAnsi="宋体" w:eastAsia="宋体" w:cs="宋体"/>
          <w:b/>
          <w:bCs/>
          <w:color w:val="auto"/>
          <w:highlight w:val="none"/>
        </w:rPr>
        <w:t>被授权人参与磋商活动的，</w:t>
      </w:r>
      <w:r>
        <w:rPr>
          <w:rFonts w:hint="eastAsia" w:ascii="宋体" w:hAnsi="宋体" w:eastAsia="宋体" w:cs="宋体"/>
          <w:color w:val="auto"/>
          <w:highlight w:val="none"/>
        </w:rPr>
        <w:t>须提供《自然人授权委托书》，《自然人授权委托书》应当按本格式要求签字并由自然人在签名处加盖食指指印</w:t>
      </w:r>
      <w:r>
        <w:rPr>
          <w:rFonts w:hint="eastAsia" w:ascii="宋体" w:hAnsi="宋体" w:eastAsia="宋体" w:cs="宋体"/>
          <w:color w:val="auto"/>
          <w:szCs w:val="21"/>
          <w:highlight w:val="none"/>
        </w:rPr>
        <w:t>。</w:t>
      </w:r>
    </w:p>
    <w:p w14:paraId="603D04CF">
      <w:pPr>
        <w:pStyle w:val="10"/>
        <w:spacing w:line="360" w:lineRule="auto"/>
        <w:ind w:firstLine="480" w:firstLineChars="200"/>
        <w:rPr>
          <w:rFonts w:hint="eastAsia" w:ascii="宋体" w:hAnsi="宋体" w:eastAsia="宋体" w:cs="宋体"/>
          <w:color w:val="auto"/>
          <w:sz w:val="24"/>
          <w:szCs w:val="24"/>
          <w:highlight w:val="none"/>
        </w:rPr>
      </w:pPr>
    </w:p>
    <w:p w14:paraId="708A06AC">
      <w:pPr>
        <w:pStyle w:val="10"/>
        <w:ind w:firstLine="420" w:firstLineChars="200"/>
        <w:jc w:val="center"/>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 xml:space="preserve">  磋商响应函</w:t>
      </w:r>
    </w:p>
    <w:p w14:paraId="02BC2ECB">
      <w:pPr>
        <w:pStyle w:val="10"/>
        <w:topLinePunct/>
        <w:autoSpaceDE w:val="0"/>
        <w:autoSpaceDN w:val="0"/>
        <w:adjustRightInd w:val="0"/>
        <w:snapToGrid w:val="0"/>
        <w:spacing w:line="360" w:lineRule="auto"/>
        <w:rPr>
          <w:rFonts w:hint="eastAsia" w:ascii="宋体" w:hAnsi="宋体" w:eastAsia="宋体" w:cs="宋体"/>
          <w:color w:val="auto"/>
          <w:sz w:val="24"/>
          <w:highlight w:val="none"/>
        </w:rPr>
      </w:pPr>
    </w:p>
    <w:p w14:paraId="137C424D">
      <w:pPr>
        <w:pStyle w:val="10"/>
        <w:topLinePunct/>
        <w:autoSpaceDE w:val="0"/>
        <w:autoSpaceDN w:val="0"/>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致________（采购人或采购代理机构）：</w:t>
      </w:r>
    </w:p>
    <w:p w14:paraId="66CD196F">
      <w:pPr>
        <w:pStyle w:val="10"/>
        <w:topLinePunct/>
        <w:autoSpaceDE w:val="0"/>
        <w:autoSpaceDN w:val="0"/>
        <w:adjustRightInd w:val="0"/>
        <w:snapToGrid w:val="0"/>
        <w:spacing w:line="360" w:lineRule="auto"/>
        <w:ind w:firstLine="428" w:firstLineChars="2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根据______（项目名称）（项目编号：______）的磋商邀请，______（姓名、职务）代表供应商______（供应商名称、地址）参加项目磋商的有关活动。据此函，</w:t>
      </w:r>
      <w:r>
        <w:rPr>
          <w:rFonts w:hint="eastAsia" w:ascii="宋体" w:hAnsi="宋体" w:eastAsia="宋体" w:cs="宋体"/>
          <w:color w:val="auto"/>
          <w:sz w:val="21"/>
          <w:szCs w:val="21"/>
          <w:highlight w:val="none"/>
          <w:lang w:eastAsia="zh-CN"/>
        </w:rPr>
        <w:t>做</w:t>
      </w:r>
      <w:r>
        <w:rPr>
          <w:rFonts w:hint="eastAsia" w:ascii="宋体" w:hAnsi="宋体" w:eastAsia="宋体" w:cs="宋体"/>
          <w:color w:val="auto"/>
          <w:sz w:val="21"/>
          <w:szCs w:val="21"/>
          <w:highlight w:val="none"/>
        </w:rPr>
        <w:t>如下承诺：</w:t>
      </w:r>
    </w:p>
    <w:p w14:paraId="405459D3">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1.同意在本项目</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文件中规定的开标日起</w:t>
      </w:r>
      <w:r>
        <w:rPr>
          <w:rFonts w:hint="eastAsia" w:ascii="宋体" w:hAnsi="宋体" w:eastAsia="宋体" w:cs="宋体"/>
          <w:color w:val="auto"/>
          <w:sz w:val="21"/>
          <w:szCs w:val="21"/>
          <w:highlight w:val="none"/>
          <w:u w:val="single"/>
        </w:rPr>
        <w:t xml:space="preserve">    天</w:t>
      </w:r>
      <w:r>
        <w:rPr>
          <w:rFonts w:hint="eastAsia" w:ascii="宋体" w:hAnsi="宋体" w:eastAsia="宋体" w:cs="宋体"/>
          <w:color w:val="auto"/>
          <w:sz w:val="21"/>
          <w:szCs w:val="21"/>
          <w:highlight w:val="none"/>
        </w:rPr>
        <w:t>遵守本响应文件中的承诺，且在期满之前均具有约束力。</w:t>
      </w:r>
    </w:p>
    <w:p w14:paraId="3C8D99D6">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2.具备</w:t>
      </w:r>
      <w:r>
        <w:rPr>
          <w:rFonts w:hint="eastAsia" w:ascii="宋体" w:hAnsi="宋体" w:eastAsia="宋体" w:cs="宋体"/>
          <w:color w:val="auto"/>
          <w:sz w:val="21"/>
          <w:szCs w:val="21"/>
          <w:highlight w:val="none"/>
          <w:lang w:eastAsia="zh-CN"/>
        </w:rPr>
        <w:t>以下</w:t>
      </w:r>
      <w:r>
        <w:rPr>
          <w:rFonts w:hint="eastAsia" w:ascii="宋体" w:hAnsi="宋体" w:eastAsia="宋体" w:cs="宋体"/>
          <w:color w:val="auto"/>
          <w:sz w:val="21"/>
          <w:szCs w:val="21"/>
          <w:highlight w:val="none"/>
        </w:rPr>
        <w:t>条件：</w:t>
      </w:r>
    </w:p>
    <w:p w14:paraId="4402DFCD">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35FE39E0">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0A79F7D3">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0DE9DDD5">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14:paraId="730838D5">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（5）参加此项采购活动前三年内，在经营活动中没有重大违法记录。</w:t>
      </w:r>
    </w:p>
    <w:p w14:paraId="61F81D8E">
      <w:pPr>
        <w:tabs>
          <w:tab w:val="left" w:pos="700"/>
        </w:tabs>
        <w:topLinePunct/>
        <w:autoSpaceDE w:val="0"/>
        <w:autoSpaceDN w:val="0"/>
        <w:adjustRightInd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（6）法律、行政法规规定的其他条件。 </w:t>
      </w:r>
    </w:p>
    <w:p w14:paraId="7C07A8D6">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3.具备本项目</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文件中规定的其他要求和资质条件。</w:t>
      </w:r>
    </w:p>
    <w:p w14:paraId="424E7829">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4.提供供应商须知规定的全部响应文件。</w:t>
      </w:r>
    </w:p>
    <w:p w14:paraId="05835586">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5.已详细审阅全部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文件（包括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文件澄清函），理解供应商须知的所有条款。</w:t>
      </w:r>
    </w:p>
    <w:p w14:paraId="0DA46E86">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6.完全理解贵方“最低报价不能作为成交的保证”的规定。</w:t>
      </w:r>
    </w:p>
    <w:p w14:paraId="635C10F8">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7.接受</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文件中全部合同条款，且无任何异议；保证忠实地执行双方所签订的合同，并承担合同规定的责任和义务。</w:t>
      </w:r>
    </w:p>
    <w:p w14:paraId="79DE5F83">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8.完全满足和响应</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文件中的各项商务和技术要求，若有偏差，已在响应文件中明确说明。</w:t>
      </w:r>
    </w:p>
    <w:p w14:paraId="042B818C">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9.愿意提供任何与磋商有关的数据、情况和技术资料等。若贵方需要，愿意提供一切证明材料。</w:t>
      </w:r>
    </w:p>
    <w:p w14:paraId="1F5D4DE8">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10.我方已详细审核全部响应文件、参考资料及有关附件，确认无误。</w:t>
      </w:r>
    </w:p>
    <w:p w14:paraId="754D2141">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11.对本次采购内容及与本项目有关的知识产权、技术资料、商业秘密及相关信息保密。</w:t>
      </w:r>
    </w:p>
    <w:p w14:paraId="2782EEB9">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12.已知悉并承诺遵守《税务系统信息化服务商失信行为记录名单制度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关于失信行为进行记录和结果应用的相关规定，及对于违反网络安全规定行为造成不良后果、“围猎”税务人员、违法违规聘用离职税务人员、国家税务总局发票电子化改革领导小组办公室认定的失信行为，3年内限制参加税务系统采购活动的相关规定。</w:t>
      </w:r>
    </w:p>
    <w:p w14:paraId="71ADCF4C">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13.已知悉并承诺遵守</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文件中关于供应链安全管理的全部要求。</w:t>
      </w:r>
    </w:p>
    <w:p w14:paraId="6D742782">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p>
    <w:p w14:paraId="66F2F553">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p>
    <w:p w14:paraId="7E0ABAB2">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p>
    <w:p w14:paraId="0FC061E2">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p>
    <w:p w14:paraId="0563A71D">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p>
    <w:p w14:paraId="3C3B6F10">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供应商名称（公章）：____________</w:t>
      </w:r>
    </w:p>
    <w:p w14:paraId="7BDFBC9A">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法定代表人（签字）/授权代表（签字）：____________</w:t>
      </w:r>
    </w:p>
    <w:p w14:paraId="02335E78">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供应商地址：____________</w:t>
      </w:r>
    </w:p>
    <w:p w14:paraId="55CB78BD">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邮编：____________</w:t>
      </w:r>
    </w:p>
    <w:p w14:paraId="3E95E68C">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电话：____________</w:t>
      </w:r>
    </w:p>
    <w:p w14:paraId="52035023">
      <w:pPr>
        <w:pStyle w:val="25"/>
        <w:numPr>
          <w:ilvl w:val="0"/>
          <w:numId w:val="0"/>
        </w:numPr>
        <w:tabs>
          <w:tab w:val="left" w:pos="420"/>
        </w:tabs>
        <w:topLinePunct/>
        <w:autoSpaceDE w:val="0"/>
        <w:autoSpaceDN w:val="0"/>
        <w:snapToGrid w:val="0"/>
        <w:spacing w:after="0" w:line="360" w:lineRule="auto"/>
        <w:ind w:firstLine="428" w:firstLineChars="204"/>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传真：____________</w:t>
      </w:r>
    </w:p>
    <w:p w14:paraId="55ED319C">
      <w:pPr>
        <w:pStyle w:val="25"/>
        <w:numPr>
          <w:ilvl w:val="0"/>
          <w:numId w:val="0"/>
        </w:numPr>
        <w:tabs>
          <w:tab w:val="left" w:pos="420"/>
        </w:tabs>
        <w:topLinePunct/>
        <w:autoSpaceDE w:val="0"/>
        <w:autoSpaceDN w:val="0"/>
        <w:snapToGrid w:val="0"/>
        <w:spacing w:after="0" w:line="360" w:lineRule="auto"/>
        <w:ind w:left="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  期：____________          </w:t>
      </w:r>
    </w:p>
    <w:p w14:paraId="76964914">
      <w:pPr>
        <w:tabs>
          <w:tab w:val="left" w:pos="1230"/>
        </w:tabs>
        <w:topLinePunct/>
        <w:autoSpaceDE w:val="0"/>
        <w:autoSpaceDN w:val="0"/>
        <w:snapToGrid w:val="0"/>
        <w:spacing w:line="400" w:lineRule="exact"/>
        <w:ind w:left="360"/>
        <w:rPr>
          <w:rFonts w:hint="eastAsia" w:ascii="宋体" w:hAnsi="宋体" w:eastAsia="宋体" w:cs="宋体"/>
          <w:color w:val="auto"/>
          <w:sz w:val="21"/>
          <w:szCs w:val="21"/>
          <w:highlight w:val="none"/>
        </w:rPr>
      </w:pPr>
    </w:p>
    <w:p w14:paraId="2A5ECE7A">
      <w:pPr>
        <w:ind w:firstLine="480" w:firstLineChars="200"/>
        <w:rPr>
          <w:rFonts w:hint="eastAsia" w:ascii="宋体" w:hAnsi="宋体" w:eastAsia="宋体" w:cs="宋体"/>
          <w:color w:val="auto"/>
          <w:sz w:val="24"/>
          <w:highlight w:val="none"/>
        </w:rPr>
      </w:pPr>
    </w:p>
    <w:p w14:paraId="407FBBEB">
      <w:pPr>
        <w:adjustRightInd w:val="0"/>
        <w:snapToGrid w:val="0"/>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特别说明：</w:t>
      </w:r>
    </w:p>
    <w:p w14:paraId="48108B32">
      <w:pPr>
        <w:adjustRightInd w:val="0"/>
        <w:snapToGrid w:val="0"/>
        <w:spacing w:after="0"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供应商应当按上述格式要求加盖与供应商名称全称一致的标准公章，并签署法定代表人或</w:t>
      </w:r>
      <w:r>
        <w:rPr>
          <w:rFonts w:hint="eastAsia" w:ascii="宋体" w:hAnsi="宋体" w:eastAsia="宋体" w:cs="宋体"/>
          <w:bCs/>
          <w:color w:val="auto"/>
          <w:szCs w:val="21"/>
          <w:highlight w:val="none"/>
        </w:rPr>
        <w:t>授权代表</w:t>
      </w:r>
      <w:r>
        <w:rPr>
          <w:rFonts w:hint="eastAsia" w:ascii="宋体" w:hAnsi="宋体" w:eastAsia="宋体" w:cs="宋体"/>
          <w:color w:val="auto"/>
          <w:szCs w:val="21"/>
          <w:highlight w:val="none"/>
        </w:rPr>
        <w:t>的全名。</w:t>
      </w:r>
    </w:p>
    <w:p w14:paraId="740DE42A">
      <w:pPr>
        <w:tabs>
          <w:tab w:val="left" w:pos="1230"/>
        </w:tabs>
        <w:topLinePunct/>
        <w:autoSpaceDE w:val="0"/>
        <w:autoSpaceDN w:val="0"/>
        <w:adjustRightInd w:val="0"/>
        <w:snapToGrid w:val="0"/>
        <w:spacing w:after="0" w:line="360" w:lineRule="auto"/>
        <w:ind w:firstLine="56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8"/>
          <w:szCs w:val="28"/>
          <w:highlight w:val="none"/>
        </w:rPr>
        <w:br w:type="page"/>
      </w:r>
    </w:p>
    <w:p w14:paraId="231F8C27">
      <w:pPr>
        <w:widowControl/>
        <w:spacing w:after="0" w:line="24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 xml:space="preserve">  商务条款偏离表</w:t>
      </w:r>
    </w:p>
    <w:tbl>
      <w:tblPr>
        <w:tblStyle w:val="15"/>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999"/>
        <w:gridCol w:w="1575"/>
        <w:gridCol w:w="1575"/>
        <w:gridCol w:w="1749"/>
        <w:gridCol w:w="1250"/>
      </w:tblGrid>
      <w:tr w14:paraId="2F69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1A590131">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99" w:type="dxa"/>
            <w:tcBorders>
              <w:top w:val="single" w:color="auto" w:sz="4" w:space="0"/>
              <w:left w:val="single" w:color="auto" w:sz="4" w:space="0"/>
              <w:bottom w:val="single" w:color="auto" w:sz="4" w:space="0"/>
              <w:right w:val="single" w:color="auto" w:sz="4" w:space="0"/>
            </w:tcBorders>
            <w:vAlign w:val="center"/>
          </w:tcPr>
          <w:p w14:paraId="22BAFB34">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eastAsia="zh-CN"/>
              </w:rPr>
              <w:t>磋商</w:t>
            </w:r>
            <w:r>
              <w:rPr>
                <w:rFonts w:hint="eastAsia" w:ascii="宋体" w:hAnsi="宋体" w:eastAsia="宋体" w:cs="宋体"/>
                <w:b/>
                <w:color w:val="auto"/>
                <w:sz w:val="21"/>
                <w:szCs w:val="21"/>
                <w:highlight w:val="none"/>
              </w:rPr>
              <w:t>文件条目号</w:t>
            </w:r>
          </w:p>
        </w:tc>
        <w:tc>
          <w:tcPr>
            <w:tcW w:w="1575" w:type="dxa"/>
            <w:tcBorders>
              <w:top w:val="single" w:color="auto" w:sz="4" w:space="0"/>
              <w:left w:val="single" w:color="auto" w:sz="4" w:space="0"/>
              <w:bottom w:val="single" w:color="auto" w:sz="4" w:space="0"/>
              <w:right w:val="single" w:color="auto" w:sz="4" w:space="0"/>
            </w:tcBorders>
            <w:vAlign w:val="center"/>
          </w:tcPr>
          <w:p w14:paraId="3B17E765">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eastAsia="zh-CN"/>
              </w:rPr>
              <w:t>磋商</w:t>
            </w:r>
            <w:r>
              <w:rPr>
                <w:rFonts w:hint="eastAsia" w:ascii="宋体" w:hAnsi="宋体" w:eastAsia="宋体" w:cs="宋体"/>
                <w:b/>
                <w:color w:val="auto"/>
                <w:sz w:val="21"/>
                <w:szCs w:val="21"/>
                <w:highlight w:val="none"/>
              </w:rPr>
              <w:t>文件</w:t>
            </w:r>
          </w:p>
          <w:p w14:paraId="46332700">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575" w:type="dxa"/>
            <w:tcBorders>
              <w:top w:val="single" w:color="auto" w:sz="4" w:space="0"/>
              <w:left w:val="single" w:color="auto" w:sz="4" w:space="0"/>
              <w:bottom w:val="single" w:color="auto" w:sz="4" w:space="0"/>
              <w:right w:val="single" w:color="auto" w:sz="4" w:space="0"/>
            </w:tcBorders>
            <w:vAlign w:val="center"/>
          </w:tcPr>
          <w:p w14:paraId="7647753E">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w:t>
            </w:r>
          </w:p>
          <w:p w14:paraId="31D99F70">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商务条款</w:t>
            </w:r>
          </w:p>
        </w:tc>
        <w:tc>
          <w:tcPr>
            <w:tcW w:w="1749" w:type="dxa"/>
            <w:tcBorders>
              <w:top w:val="single" w:color="auto" w:sz="4" w:space="0"/>
              <w:left w:val="single" w:color="auto" w:sz="4" w:space="0"/>
              <w:bottom w:val="single" w:color="auto" w:sz="4" w:space="0"/>
              <w:right w:val="single" w:color="auto" w:sz="4" w:space="0"/>
            </w:tcBorders>
            <w:vAlign w:val="center"/>
          </w:tcPr>
          <w:p w14:paraId="6378FC24">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w:t>
            </w:r>
          </w:p>
          <w:p w14:paraId="0DBBB1EC">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（无/正/负）</w:t>
            </w:r>
          </w:p>
        </w:tc>
        <w:tc>
          <w:tcPr>
            <w:tcW w:w="1250" w:type="dxa"/>
            <w:tcBorders>
              <w:top w:val="single" w:color="auto" w:sz="4" w:space="0"/>
              <w:left w:val="single" w:color="auto" w:sz="4" w:space="0"/>
              <w:bottom w:val="single" w:color="auto" w:sz="4" w:space="0"/>
              <w:right w:val="single" w:color="auto" w:sz="4" w:space="0"/>
            </w:tcBorders>
            <w:vAlign w:val="center"/>
          </w:tcPr>
          <w:p w14:paraId="08A2F29D">
            <w:pPr>
              <w:topLinePunct/>
              <w:autoSpaceDE w:val="0"/>
              <w:autoSpaceDN w:val="0"/>
              <w:spacing w:beforeLines="20" w:after="4"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3946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2F407EEC">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99" w:type="dxa"/>
            <w:tcBorders>
              <w:top w:val="single" w:color="auto" w:sz="4" w:space="0"/>
              <w:left w:val="single" w:color="auto" w:sz="4" w:space="0"/>
              <w:bottom w:val="single" w:color="auto" w:sz="4" w:space="0"/>
              <w:right w:val="single" w:color="auto" w:sz="4" w:space="0"/>
            </w:tcBorders>
            <w:vAlign w:val="top"/>
          </w:tcPr>
          <w:p w14:paraId="55C24D7E">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55D23466">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640356E2">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14:paraId="23B4746C">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14:paraId="23D1C37C">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r w14:paraId="57A1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329E9FFC">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99" w:type="dxa"/>
            <w:tcBorders>
              <w:top w:val="single" w:color="auto" w:sz="4" w:space="0"/>
              <w:left w:val="single" w:color="auto" w:sz="4" w:space="0"/>
              <w:bottom w:val="single" w:color="auto" w:sz="4" w:space="0"/>
              <w:right w:val="single" w:color="auto" w:sz="4" w:space="0"/>
            </w:tcBorders>
            <w:vAlign w:val="top"/>
          </w:tcPr>
          <w:p w14:paraId="2D08C8CE">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31C3FB40">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1AE8E46C">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14:paraId="2ABC9950">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14:paraId="1C0EB901">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r w14:paraId="6024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1D46A54D">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99" w:type="dxa"/>
            <w:tcBorders>
              <w:top w:val="single" w:color="auto" w:sz="4" w:space="0"/>
              <w:left w:val="single" w:color="auto" w:sz="4" w:space="0"/>
              <w:bottom w:val="single" w:color="auto" w:sz="4" w:space="0"/>
              <w:right w:val="single" w:color="auto" w:sz="4" w:space="0"/>
            </w:tcBorders>
            <w:vAlign w:val="top"/>
          </w:tcPr>
          <w:p w14:paraId="3B6EEE28">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45B7AA48">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22427324">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14:paraId="62EFBC55">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14:paraId="7DF65DA1">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r w14:paraId="3F30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63916E60">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99" w:type="dxa"/>
            <w:tcBorders>
              <w:top w:val="single" w:color="auto" w:sz="4" w:space="0"/>
              <w:left w:val="single" w:color="auto" w:sz="4" w:space="0"/>
              <w:bottom w:val="single" w:color="auto" w:sz="4" w:space="0"/>
              <w:right w:val="single" w:color="auto" w:sz="4" w:space="0"/>
            </w:tcBorders>
            <w:vAlign w:val="top"/>
          </w:tcPr>
          <w:p w14:paraId="6477AC28">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144A2DF1">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7FDE4C26">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14:paraId="5BF4E3EC">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14:paraId="764A06C5">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r w14:paraId="7C7F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5" w:type="dxa"/>
            <w:tcBorders>
              <w:top w:val="single" w:color="auto" w:sz="4" w:space="0"/>
              <w:left w:val="single" w:color="auto" w:sz="4" w:space="0"/>
              <w:bottom w:val="single" w:color="auto" w:sz="4" w:space="0"/>
              <w:right w:val="single" w:color="auto" w:sz="4" w:space="0"/>
            </w:tcBorders>
            <w:vAlign w:val="center"/>
          </w:tcPr>
          <w:p w14:paraId="65E2A7C4">
            <w:pPr>
              <w:topLinePunct/>
              <w:autoSpaceDE w:val="0"/>
              <w:autoSpaceDN w:val="0"/>
              <w:spacing w:beforeLines="20" w:after="4"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999" w:type="dxa"/>
            <w:tcBorders>
              <w:top w:val="single" w:color="auto" w:sz="4" w:space="0"/>
              <w:left w:val="single" w:color="auto" w:sz="4" w:space="0"/>
              <w:bottom w:val="single" w:color="auto" w:sz="4" w:space="0"/>
              <w:right w:val="single" w:color="auto" w:sz="4" w:space="0"/>
            </w:tcBorders>
            <w:vAlign w:val="top"/>
          </w:tcPr>
          <w:p w14:paraId="1FE5ADEA">
            <w:pPr>
              <w:topLinePunct/>
              <w:autoSpaceDE w:val="0"/>
              <w:autoSpaceDN w:val="0"/>
              <w:spacing w:beforeLines="20" w:after="4" w:line="240" w:lineRule="auto"/>
              <w:jc w:val="center"/>
              <w:rPr>
                <w:rFonts w:hint="eastAsia" w:ascii="宋体" w:hAnsi="宋体" w:eastAsia="宋体" w:cs="宋体"/>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30EEE846">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vAlign w:val="top"/>
          </w:tcPr>
          <w:p w14:paraId="7F896815">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749" w:type="dxa"/>
            <w:tcBorders>
              <w:top w:val="single" w:color="auto" w:sz="4" w:space="0"/>
              <w:left w:val="single" w:color="auto" w:sz="4" w:space="0"/>
              <w:bottom w:val="single" w:color="auto" w:sz="4" w:space="0"/>
              <w:right w:val="single" w:color="auto" w:sz="4" w:space="0"/>
            </w:tcBorders>
            <w:vAlign w:val="top"/>
          </w:tcPr>
          <w:p w14:paraId="40DC7231">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c>
          <w:tcPr>
            <w:tcW w:w="1250" w:type="dxa"/>
            <w:tcBorders>
              <w:top w:val="single" w:color="auto" w:sz="4" w:space="0"/>
              <w:left w:val="single" w:color="auto" w:sz="4" w:space="0"/>
              <w:bottom w:val="single" w:color="auto" w:sz="4" w:space="0"/>
              <w:right w:val="single" w:color="auto" w:sz="4" w:space="0"/>
            </w:tcBorders>
            <w:vAlign w:val="top"/>
          </w:tcPr>
          <w:p w14:paraId="4A2A6052">
            <w:pPr>
              <w:topLinePunct/>
              <w:autoSpaceDE w:val="0"/>
              <w:autoSpaceDN w:val="0"/>
              <w:spacing w:beforeLines="20" w:after="4" w:line="240" w:lineRule="auto"/>
              <w:jc w:val="center"/>
              <w:rPr>
                <w:rFonts w:hint="eastAsia" w:ascii="宋体" w:hAnsi="宋体" w:eastAsia="宋体" w:cs="宋体"/>
                <w:b/>
                <w:bCs/>
                <w:color w:val="auto"/>
                <w:sz w:val="21"/>
                <w:szCs w:val="21"/>
                <w:highlight w:val="none"/>
              </w:rPr>
            </w:pPr>
          </w:p>
        </w:tc>
      </w:tr>
    </w:tbl>
    <w:p w14:paraId="0402918B">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57DE062D">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1.商务条款无需条对条应答，如无偏离，请在此表中填写“无偏离”；如有偏离，请在此表中应答为“正/负偏离”并说明偏离情况。</w:t>
      </w:r>
    </w:p>
    <w:p w14:paraId="382BD936">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文件《第六章　项目采购需求》中的“商务要求”，结合自身情况对商务条款</w:t>
      </w:r>
      <w:r>
        <w:rPr>
          <w:rFonts w:hint="eastAsia" w:ascii="宋体" w:hAnsi="宋体" w:eastAsia="宋体" w:cs="宋体"/>
          <w:color w:val="auto"/>
          <w:szCs w:val="21"/>
          <w:highlight w:val="none"/>
          <w:lang w:val="en-US" w:eastAsia="zh-CN"/>
        </w:rPr>
        <w:t>进行响应。</w:t>
      </w:r>
      <w:r>
        <w:rPr>
          <w:rFonts w:hint="eastAsia" w:ascii="宋体" w:hAnsi="宋体" w:eastAsia="宋体" w:cs="宋体"/>
          <w:color w:val="auto"/>
          <w:szCs w:val="21"/>
          <w:highlight w:val="none"/>
        </w:rPr>
        <w:t>如《第六章　项目采购需求》中的“商务要求”中有标注★号的，则为实质性要求，必须满足，如应答为“负偏离”，将导致响应无效。</w:t>
      </w:r>
    </w:p>
    <w:p w14:paraId="4E20804E">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3.本表可扩展。</w:t>
      </w:r>
    </w:p>
    <w:p w14:paraId="40DADC99">
      <w:pPr>
        <w:topLinePunct/>
        <w:autoSpaceDE w:val="0"/>
        <w:autoSpaceDN w:val="0"/>
        <w:spacing w:line="500" w:lineRule="exact"/>
        <w:rPr>
          <w:rFonts w:hint="eastAsia" w:ascii="宋体" w:hAnsi="宋体" w:eastAsia="宋体" w:cs="宋体"/>
          <w:color w:val="auto"/>
          <w:sz w:val="21"/>
          <w:szCs w:val="21"/>
          <w:highlight w:val="none"/>
        </w:rPr>
      </w:pPr>
    </w:p>
    <w:p w14:paraId="04E6F177">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88653C5">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D954CA0">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52902DE7">
      <w:pPr>
        <w:rPr>
          <w:rFonts w:hint="eastAsia" w:ascii="宋体" w:hAnsi="宋体" w:eastAsia="宋体" w:cs="宋体"/>
          <w:b/>
          <w:bCs/>
          <w:color w:val="auto"/>
          <w:sz w:val="21"/>
          <w:szCs w:val="21"/>
          <w:highlight w:val="none"/>
        </w:rPr>
      </w:pPr>
    </w:p>
    <w:p w14:paraId="5798AD7A">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p>
    <w:p w14:paraId="13D2D592">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p>
    <w:p w14:paraId="4BBBE7EF">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p>
    <w:p w14:paraId="420EB419">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p>
    <w:p w14:paraId="1C888834">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p>
    <w:p w14:paraId="7A77CE6E">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p>
    <w:p w14:paraId="35090EB4">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p>
    <w:p w14:paraId="027EA4F6">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p>
    <w:p w14:paraId="6E4E8917">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p>
    <w:p w14:paraId="70048712">
      <w:pPr>
        <w:pStyle w:val="25"/>
        <w:numPr>
          <w:ilvl w:val="0"/>
          <w:numId w:val="0"/>
        </w:numPr>
        <w:tabs>
          <w:tab w:val="left" w:pos="420"/>
        </w:tabs>
        <w:snapToGrid w:val="0"/>
        <w:spacing w:line="460" w:lineRule="atLeast"/>
        <w:jc w:val="center"/>
        <w:rPr>
          <w:rFonts w:hint="eastAsia" w:ascii="宋体" w:hAnsi="宋体" w:eastAsia="宋体" w:cs="宋体"/>
          <w:b/>
          <w:bCs/>
          <w:color w:val="auto"/>
          <w:kern w:val="44"/>
          <w:sz w:val="28"/>
          <w:szCs w:val="28"/>
          <w:highlight w:val="none"/>
        </w:rPr>
      </w:pPr>
      <w:r>
        <w:rPr>
          <w:rFonts w:hint="eastAsia" w:ascii="宋体" w:hAnsi="宋体" w:eastAsia="宋体" w:cs="宋体"/>
          <w:b/>
          <w:bCs/>
          <w:color w:val="auto"/>
          <w:kern w:val="44"/>
          <w:sz w:val="28"/>
          <w:szCs w:val="28"/>
          <w:highlight w:val="none"/>
        </w:rPr>
        <w:t>格式</w:t>
      </w:r>
      <w:r>
        <w:rPr>
          <w:rFonts w:hint="eastAsia" w:ascii="宋体" w:hAnsi="宋体" w:eastAsia="宋体" w:cs="宋体"/>
          <w:b/>
          <w:bCs/>
          <w:color w:val="auto"/>
          <w:kern w:val="44"/>
          <w:sz w:val="28"/>
          <w:szCs w:val="28"/>
          <w:highlight w:val="none"/>
          <w:lang w:val="en-US" w:eastAsia="zh-CN"/>
        </w:rPr>
        <w:t>9</w:t>
      </w:r>
      <w:r>
        <w:rPr>
          <w:rFonts w:hint="eastAsia" w:ascii="宋体" w:hAnsi="宋体" w:eastAsia="宋体" w:cs="宋体"/>
          <w:b/>
          <w:bCs/>
          <w:color w:val="auto"/>
          <w:kern w:val="44"/>
          <w:sz w:val="28"/>
          <w:szCs w:val="28"/>
          <w:highlight w:val="none"/>
        </w:rPr>
        <w:t xml:space="preserve"> 成功案例一览表</w:t>
      </w:r>
    </w:p>
    <w:p w14:paraId="008011F6">
      <w:pPr>
        <w:pStyle w:val="10"/>
        <w:topLinePunct/>
        <w:autoSpaceDE w:val="0"/>
        <w:autoSpaceDN w:val="0"/>
        <w:adjustRightInd w:val="0"/>
        <w:snapToGrid w:val="0"/>
        <w:spacing w:line="360" w:lineRule="auto"/>
        <w:ind w:left="2"/>
        <w:jc w:val="center"/>
        <w:rPr>
          <w:rFonts w:hint="eastAsia" w:ascii="宋体" w:hAnsi="宋体" w:eastAsia="宋体" w:cs="宋体"/>
          <w:b w:val="0"/>
          <w:bCs w:val="0"/>
          <w:color w:val="auto"/>
          <w:kern w:val="2"/>
          <w:sz w:val="21"/>
          <w:highlight w:val="none"/>
        </w:rPr>
      </w:pPr>
      <w:r>
        <w:rPr>
          <w:rFonts w:hint="eastAsia" w:ascii="宋体" w:hAnsi="宋体" w:eastAsia="宋体" w:cs="宋体"/>
          <w:b w:val="0"/>
          <w:bCs w:val="0"/>
          <w:color w:val="auto"/>
          <w:kern w:val="2"/>
          <w:sz w:val="21"/>
          <w:highlight w:val="none"/>
        </w:rPr>
        <w:t>（</w:t>
      </w:r>
      <w:r>
        <w:rPr>
          <w:rFonts w:hint="eastAsia" w:ascii="宋体" w:hAnsi="宋体" w:eastAsia="宋体" w:cs="宋体"/>
          <w:b w:val="0"/>
          <w:bCs w:val="0"/>
          <w:i/>
          <w:color w:val="auto"/>
          <w:kern w:val="2"/>
          <w:sz w:val="21"/>
          <w:highlight w:val="none"/>
        </w:rPr>
        <w:t>根据磋商文件要求调整</w:t>
      </w:r>
      <w:r>
        <w:rPr>
          <w:rFonts w:hint="eastAsia" w:ascii="宋体" w:hAnsi="宋体" w:eastAsia="宋体" w:cs="宋体"/>
          <w:b w:val="0"/>
          <w:bCs w:val="0"/>
          <w:color w:val="auto"/>
          <w:kern w:val="2"/>
          <w:sz w:val="21"/>
          <w:highlight w:val="none"/>
        </w:rPr>
        <w:t>）</w:t>
      </w:r>
    </w:p>
    <w:tbl>
      <w:tblPr>
        <w:tblStyle w:val="15"/>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19"/>
        <w:gridCol w:w="864"/>
        <w:gridCol w:w="707"/>
        <w:gridCol w:w="744"/>
        <w:gridCol w:w="1221"/>
        <w:gridCol w:w="1161"/>
        <w:gridCol w:w="1065"/>
        <w:gridCol w:w="1737"/>
      </w:tblGrid>
      <w:tr w14:paraId="6AC0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16B05ED1">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19" w:type="dxa"/>
            <w:tcBorders>
              <w:top w:val="single" w:color="auto" w:sz="4" w:space="0"/>
              <w:left w:val="single" w:color="auto" w:sz="4" w:space="0"/>
              <w:bottom w:val="single" w:color="auto" w:sz="4" w:space="0"/>
              <w:right w:val="single" w:color="auto" w:sz="4" w:space="0"/>
            </w:tcBorders>
            <w:vAlign w:val="center"/>
          </w:tcPr>
          <w:p w14:paraId="670BBE06">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14:paraId="3B05E181">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864" w:type="dxa"/>
            <w:tcBorders>
              <w:top w:val="single" w:color="auto" w:sz="4" w:space="0"/>
              <w:left w:val="single" w:color="auto" w:sz="4" w:space="0"/>
              <w:bottom w:val="single" w:color="auto" w:sz="4" w:space="0"/>
              <w:right w:val="single" w:color="auto" w:sz="4" w:space="0"/>
            </w:tcBorders>
            <w:vAlign w:val="center"/>
          </w:tcPr>
          <w:p w14:paraId="6F84F474">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14:paraId="22D7AB73">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p>
        </w:tc>
        <w:tc>
          <w:tcPr>
            <w:tcW w:w="707" w:type="dxa"/>
            <w:tcBorders>
              <w:top w:val="single" w:color="auto" w:sz="4" w:space="0"/>
              <w:left w:val="single" w:color="auto" w:sz="4" w:space="0"/>
              <w:bottom w:val="single" w:color="auto" w:sz="4" w:space="0"/>
              <w:right w:val="single" w:color="auto" w:sz="4" w:space="0"/>
            </w:tcBorders>
            <w:vAlign w:val="center"/>
          </w:tcPr>
          <w:p w14:paraId="51B87724">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合同时间</w:t>
            </w:r>
          </w:p>
        </w:tc>
        <w:tc>
          <w:tcPr>
            <w:tcW w:w="744" w:type="dxa"/>
            <w:tcBorders>
              <w:top w:val="single" w:color="auto" w:sz="4" w:space="0"/>
              <w:left w:val="single" w:color="auto" w:sz="4" w:space="0"/>
              <w:bottom w:val="single" w:color="auto" w:sz="4" w:space="0"/>
              <w:right w:val="single" w:color="auto" w:sz="4" w:space="0"/>
            </w:tcBorders>
            <w:vAlign w:val="center"/>
          </w:tcPr>
          <w:p w14:paraId="166C582F">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w:t>
            </w:r>
          </w:p>
          <w:p w14:paraId="484D9EC2">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金额</w:t>
            </w:r>
          </w:p>
        </w:tc>
        <w:tc>
          <w:tcPr>
            <w:tcW w:w="1221" w:type="dxa"/>
            <w:tcBorders>
              <w:top w:val="single" w:color="auto" w:sz="4" w:space="0"/>
              <w:left w:val="single" w:color="auto" w:sz="4" w:space="0"/>
              <w:bottom w:val="single" w:color="auto" w:sz="4" w:space="0"/>
              <w:right w:val="single" w:color="auto" w:sz="4" w:space="0"/>
            </w:tcBorders>
            <w:vAlign w:val="center"/>
          </w:tcPr>
          <w:p w14:paraId="7A695D20">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合同主要</w:t>
            </w:r>
          </w:p>
          <w:p w14:paraId="205577C7">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161" w:type="dxa"/>
            <w:tcBorders>
              <w:top w:val="single" w:color="auto" w:sz="4" w:space="0"/>
              <w:left w:val="single" w:color="auto" w:sz="4" w:space="0"/>
              <w:bottom w:val="single" w:color="auto" w:sz="4" w:space="0"/>
              <w:right w:val="single" w:color="auto" w:sz="4" w:space="0"/>
            </w:tcBorders>
            <w:vAlign w:val="center"/>
          </w:tcPr>
          <w:p w14:paraId="61E7CA49">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  户</w:t>
            </w:r>
          </w:p>
          <w:p w14:paraId="647FECEB">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联系人</w:t>
            </w:r>
          </w:p>
        </w:tc>
        <w:tc>
          <w:tcPr>
            <w:tcW w:w="1065" w:type="dxa"/>
            <w:tcBorders>
              <w:top w:val="single" w:color="auto" w:sz="4" w:space="0"/>
              <w:left w:val="single" w:color="auto" w:sz="4" w:space="0"/>
              <w:bottom w:val="single" w:color="auto" w:sz="4" w:space="0"/>
              <w:right w:val="single" w:color="auto" w:sz="4" w:space="0"/>
            </w:tcBorders>
            <w:vAlign w:val="center"/>
          </w:tcPr>
          <w:p w14:paraId="494BDF57">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用户联</w:t>
            </w:r>
          </w:p>
          <w:p w14:paraId="5F5C6ACC">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系电话</w:t>
            </w:r>
          </w:p>
        </w:tc>
        <w:tc>
          <w:tcPr>
            <w:tcW w:w="1737" w:type="dxa"/>
            <w:tcBorders>
              <w:top w:val="single" w:color="auto" w:sz="4" w:space="0"/>
              <w:left w:val="single" w:color="auto" w:sz="4" w:space="0"/>
              <w:bottom w:val="single" w:color="auto" w:sz="4" w:space="0"/>
              <w:right w:val="single" w:color="auto" w:sz="4" w:space="0"/>
            </w:tcBorders>
            <w:vAlign w:val="center"/>
          </w:tcPr>
          <w:p w14:paraId="38B4F1CE">
            <w:pPr>
              <w:topLinePunct/>
              <w:autoSpaceDE w:val="0"/>
              <w:autoSpaceDN w:val="0"/>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0608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189CB6D3">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9" w:type="dxa"/>
            <w:tcBorders>
              <w:top w:val="single" w:color="auto" w:sz="4" w:space="0"/>
              <w:left w:val="single" w:color="auto" w:sz="4" w:space="0"/>
              <w:bottom w:val="single" w:color="auto" w:sz="4" w:space="0"/>
              <w:right w:val="single" w:color="auto" w:sz="4" w:space="0"/>
            </w:tcBorders>
            <w:vAlign w:val="center"/>
          </w:tcPr>
          <w:p w14:paraId="40365490">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2472A1D1">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4E11BEDD">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513EB876">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4EE9875">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1FA8584">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0320CE4B">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0FEC2BFA">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14:paraId="47FD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22DA73C7">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19" w:type="dxa"/>
            <w:tcBorders>
              <w:top w:val="single" w:color="auto" w:sz="4" w:space="0"/>
              <w:left w:val="single" w:color="auto" w:sz="4" w:space="0"/>
              <w:bottom w:val="single" w:color="auto" w:sz="4" w:space="0"/>
              <w:right w:val="single" w:color="auto" w:sz="4" w:space="0"/>
            </w:tcBorders>
            <w:vAlign w:val="center"/>
          </w:tcPr>
          <w:p w14:paraId="5926A242">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66650884">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6F20259F">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303E9AE">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52FF7C15">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29F9861">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002B7E5F">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52FC5DAD">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14:paraId="3927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01A5453E">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9" w:type="dxa"/>
            <w:tcBorders>
              <w:top w:val="single" w:color="auto" w:sz="4" w:space="0"/>
              <w:left w:val="single" w:color="auto" w:sz="4" w:space="0"/>
              <w:bottom w:val="single" w:color="auto" w:sz="4" w:space="0"/>
              <w:right w:val="single" w:color="auto" w:sz="4" w:space="0"/>
            </w:tcBorders>
            <w:vAlign w:val="center"/>
          </w:tcPr>
          <w:p w14:paraId="4520D38B">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69AF6F0B">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360A3CC9">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30C6A78F">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9B5613D">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476F6B41">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376FCD3C">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76E1F749">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14:paraId="24A3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63512143">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19" w:type="dxa"/>
            <w:tcBorders>
              <w:top w:val="single" w:color="auto" w:sz="4" w:space="0"/>
              <w:left w:val="single" w:color="auto" w:sz="4" w:space="0"/>
              <w:bottom w:val="single" w:color="auto" w:sz="4" w:space="0"/>
              <w:right w:val="single" w:color="auto" w:sz="4" w:space="0"/>
            </w:tcBorders>
            <w:vAlign w:val="center"/>
          </w:tcPr>
          <w:p w14:paraId="5B442AD1">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4374BB6C">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7F0E547F">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36B3CE81">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1AE84831">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7145A11A">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7953B697">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3192E1AD">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14:paraId="22EA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7438B09E">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19" w:type="dxa"/>
            <w:tcBorders>
              <w:top w:val="single" w:color="auto" w:sz="4" w:space="0"/>
              <w:left w:val="single" w:color="auto" w:sz="4" w:space="0"/>
              <w:bottom w:val="single" w:color="auto" w:sz="4" w:space="0"/>
              <w:right w:val="single" w:color="auto" w:sz="4" w:space="0"/>
            </w:tcBorders>
            <w:vAlign w:val="center"/>
          </w:tcPr>
          <w:p w14:paraId="5E5969D3">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0F10F4AE">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5A8857A2">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414B5010">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01209850">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EC86D9F">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65185E96">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4E862514">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r w14:paraId="26EA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0" w:type="dxa"/>
            <w:tcBorders>
              <w:top w:val="single" w:color="auto" w:sz="4" w:space="0"/>
              <w:left w:val="single" w:color="auto" w:sz="4" w:space="0"/>
              <w:bottom w:val="single" w:color="auto" w:sz="4" w:space="0"/>
              <w:right w:val="single" w:color="auto" w:sz="4" w:space="0"/>
            </w:tcBorders>
            <w:vAlign w:val="center"/>
          </w:tcPr>
          <w:p w14:paraId="46692A87">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9" w:type="dxa"/>
            <w:tcBorders>
              <w:top w:val="single" w:color="auto" w:sz="4" w:space="0"/>
              <w:left w:val="single" w:color="auto" w:sz="4" w:space="0"/>
              <w:bottom w:val="single" w:color="auto" w:sz="4" w:space="0"/>
              <w:right w:val="single" w:color="auto" w:sz="4" w:space="0"/>
            </w:tcBorders>
            <w:vAlign w:val="center"/>
          </w:tcPr>
          <w:p w14:paraId="09209B3E">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864" w:type="dxa"/>
            <w:tcBorders>
              <w:top w:val="single" w:color="auto" w:sz="4" w:space="0"/>
              <w:left w:val="single" w:color="auto" w:sz="4" w:space="0"/>
              <w:bottom w:val="single" w:color="auto" w:sz="4" w:space="0"/>
              <w:right w:val="single" w:color="auto" w:sz="4" w:space="0"/>
            </w:tcBorders>
            <w:vAlign w:val="center"/>
          </w:tcPr>
          <w:p w14:paraId="3D7B7658">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07" w:type="dxa"/>
            <w:tcBorders>
              <w:top w:val="single" w:color="auto" w:sz="4" w:space="0"/>
              <w:left w:val="single" w:color="auto" w:sz="4" w:space="0"/>
              <w:bottom w:val="single" w:color="auto" w:sz="4" w:space="0"/>
              <w:right w:val="single" w:color="auto" w:sz="4" w:space="0"/>
            </w:tcBorders>
            <w:vAlign w:val="top"/>
          </w:tcPr>
          <w:p w14:paraId="5A2B2379">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14:paraId="23A105B0">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vAlign w:val="center"/>
          </w:tcPr>
          <w:p w14:paraId="4E30DEF1">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161" w:type="dxa"/>
            <w:tcBorders>
              <w:top w:val="single" w:color="auto" w:sz="4" w:space="0"/>
              <w:left w:val="single" w:color="auto" w:sz="4" w:space="0"/>
              <w:bottom w:val="single" w:color="auto" w:sz="4" w:space="0"/>
              <w:right w:val="single" w:color="auto" w:sz="4" w:space="0"/>
            </w:tcBorders>
            <w:vAlign w:val="center"/>
          </w:tcPr>
          <w:p w14:paraId="000A7B77">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065" w:type="dxa"/>
            <w:tcBorders>
              <w:top w:val="single" w:color="auto" w:sz="4" w:space="0"/>
              <w:left w:val="single" w:color="auto" w:sz="4" w:space="0"/>
              <w:bottom w:val="single" w:color="auto" w:sz="4" w:space="0"/>
              <w:right w:val="single" w:color="auto" w:sz="4" w:space="0"/>
            </w:tcBorders>
            <w:vAlign w:val="center"/>
          </w:tcPr>
          <w:p w14:paraId="32D0EC93">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c>
          <w:tcPr>
            <w:tcW w:w="1737" w:type="dxa"/>
            <w:tcBorders>
              <w:top w:val="single" w:color="auto" w:sz="4" w:space="0"/>
              <w:left w:val="single" w:color="auto" w:sz="4" w:space="0"/>
              <w:bottom w:val="single" w:color="auto" w:sz="4" w:space="0"/>
              <w:right w:val="single" w:color="auto" w:sz="4" w:space="0"/>
            </w:tcBorders>
            <w:vAlign w:val="center"/>
          </w:tcPr>
          <w:p w14:paraId="7F858B3D">
            <w:pPr>
              <w:topLinePunct/>
              <w:autoSpaceDE w:val="0"/>
              <w:autoSpaceDN w:val="0"/>
              <w:adjustRightInd w:val="0"/>
              <w:snapToGrid w:val="0"/>
              <w:spacing w:after="0" w:line="240" w:lineRule="auto"/>
              <w:jc w:val="center"/>
              <w:rPr>
                <w:rFonts w:hint="eastAsia" w:ascii="宋体" w:hAnsi="宋体" w:eastAsia="宋体" w:cs="宋体"/>
                <w:color w:val="auto"/>
                <w:sz w:val="21"/>
                <w:szCs w:val="21"/>
                <w:highlight w:val="none"/>
              </w:rPr>
            </w:pPr>
          </w:p>
        </w:tc>
      </w:tr>
    </w:tbl>
    <w:p w14:paraId="3A348134">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32C49626">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1.提供20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月1日以来（以合同签订日期为准），供应商</w:t>
      </w:r>
      <w:r>
        <w:rPr>
          <w:rFonts w:hint="eastAsia" w:ascii="宋体" w:hAnsi="宋体" w:eastAsia="宋体" w:cs="宋体"/>
          <w:color w:val="auto"/>
          <w:szCs w:val="21"/>
          <w:highlight w:val="none"/>
          <w:lang w:eastAsia="zh-CN"/>
        </w:rPr>
        <w:t>承接</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zh-CN" w:eastAsia="zh-CN"/>
        </w:rPr>
        <w:t>食堂</w:t>
      </w:r>
      <w:r>
        <w:rPr>
          <w:rFonts w:hint="eastAsia" w:ascii="宋体" w:hAnsi="宋体" w:eastAsia="宋体" w:cs="宋体"/>
          <w:color w:val="auto"/>
          <w:szCs w:val="21"/>
          <w:highlight w:val="none"/>
          <w:lang w:val="zh-CN"/>
        </w:rPr>
        <w:t>食材</w:t>
      </w:r>
      <w:r>
        <w:rPr>
          <w:rFonts w:hint="eastAsia" w:ascii="宋体" w:hAnsi="宋体" w:eastAsia="宋体" w:cs="宋体"/>
          <w:color w:val="auto"/>
          <w:szCs w:val="21"/>
          <w:highlight w:val="none"/>
          <w:lang w:val="zh-CN" w:eastAsia="zh-CN"/>
        </w:rPr>
        <w:t>采购</w:t>
      </w:r>
      <w:r>
        <w:rPr>
          <w:rFonts w:hint="eastAsia" w:ascii="宋体" w:hAnsi="宋体" w:eastAsia="宋体" w:cs="宋体"/>
          <w:color w:val="auto"/>
          <w:szCs w:val="21"/>
          <w:highlight w:val="none"/>
          <w:lang w:val="zh-CN"/>
        </w:rPr>
        <w:t>项目</w:t>
      </w:r>
      <w:r>
        <w:rPr>
          <w:rFonts w:hint="eastAsia" w:ascii="宋体" w:hAnsi="宋体" w:eastAsia="宋体" w:cs="宋体"/>
          <w:color w:val="auto"/>
          <w:szCs w:val="21"/>
          <w:highlight w:val="none"/>
        </w:rPr>
        <w:t>案例。</w:t>
      </w:r>
    </w:p>
    <w:p w14:paraId="6241513C">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2.应提供合同复印件。合同复印件应能清晰体现合同甲乙双方、合同时间、合同金额、合同主要内容等，并提供对方联系人及联系方式，否则不能获得相应分值。</w:t>
      </w:r>
    </w:p>
    <w:p w14:paraId="6603E906">
      <w:pPr>
        <w:pStyle w:val="10"/>
        <w:topLinePunct/>
        <w:autoSpaceDE w:val="0"/>
        <w:autoSpaceDN w:val="0"/>
        <w:spacing w:line="460" w:lineRule="exact"/>
        <w:jc w:val="center"/>
        <w:rPr>
          <w:rFonts w:hint="eastAsia" w:ascii="宋体" w:hAnsi="宋体" w:eastAsia="宋体" w:cs="宋体"/>
          <w:b/>
          <w:bCs/>
          <w:color w:val="auto"/>
          <w:sz w:val="36"/>
          <w:szCs w:val="36"/>
          <w:highlight w:val="none"/>
        </w:rPr>
      </w:pPr>
      <w:bookmarkStart w:id="34" w:name="_Toc315564887"/>
      <w:bookmarkStart w:id="35" w:name="_Toc989815653"/>
      <w:bookmarkStart w:id="36" w:name="_Toc1093498656"/>
      <w:bookmarkStart w:id="37" w:name="_Toc240142232"/>
      <w:bookmarkStart w:id="38" w:name="_Toc665197788"/>
      <w:bookmarkStart w:id="39" w:name="_Toc2129800646"/>
      <w:bookmarkStart w:id="40" w:name="_Toc1062827402"/>
      <w:bookmarkStart w:id="41" w:name="_Toc1229686241"/>
      <w:bookmarkStart w:id="42" w:name="_Toc579775874"/>
      <w:bookmarkStart w:id="43" w:name="_Toc18814"/>
    </w:p>
    <w:p w14:paraId="4DCB225D">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14:paraId="7F6F29FD">
      <w:pPr>
        <w:spacing w:line="600" w:lineRule="auto"/>
        <w:jc w:val="center"/>
        <w:rPr>
          <w:rFonts w:hint="eastAsia" w:ascii="宋体" w:hAnsi="宋体" w:eastAsia="宋体" w:cs="宋体"/>
          <w:b/>
          <w:color w:val="auto"/>
          <w:kern w:val="0"/>
          <w:sz w:val="44"/>
          <w:szCs w:val="44"/>
          <w:highlight w:val="none"/>
        </w:rPr>
      </w:pPr>
    </w:p>
    <w:p w14:paraId="759C786A">
      <w:pPr>
        <w:pStyle w:val="2"/>
        <w:rPr>
          <w:rFonts w:hint="eastAsia" w:ascii="宋体" w:hAnsi="宋体" w:eastAsia="宋体" w:cs="宋体"/>
          <w:b/>
          <w:color w:val="auto"/>
          <w:kern w:val="0"/>
          <w:sz w:val="44"/>
          <w:szCs w:val="44"/>
          <w:highlight w:val="none"/>
        </w:rPr>
      </w:pPr>
    </w:p>
    <w:p w14:paraId="7AFA86A0">
      <w:pPr>
        <w:rPr>
          <w:rFonts w:hint="eastAsia" w:ascii="宋体" w:hAnsi="宋体" w:eastAsia="宋体" w:cs="宋体"/>
          <w:color w:val="auto"/>
          <w:highlight w:val="none"/>
        </w:rPr>
      </w:pPr>
    </w:p>
    <w:p w14:paraId="75184F34">
      <w:pPr>
        <w:spacing w:line="600" w:lineRule="auto"/>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响  应  文  件</w:t>
      </w:r>
    </w:p>
    <w:p w14:paraId="5185B0D1">
      <w:pPr>
        <w:spacing w:line="600" w:lineRule="auto"/>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rPr>
        <w:t>技术部分</w:t>
      </w:r>
    </w:p>
    <w:p w14:paraId="2910DFED">
      <w:pPr>
        <w:spacing w:line="360" w:lineRule="auto"/>
        <w:ind w:firstLine="643" w:firstLineChars="200"/>
        <w:jc w:val="center"/>
        <w:rPr>
          <w:rFonts w:hint="eastAsia" w:ascii="宋体" w:hAnsi="宋体" w:eastAsia="宋体" w:cs="宋体"/>
          <w:b/>
          <w:bCs w:val="0"/>
          <w:color w:val="auto"/>
          <w:kern w:val="0"/>
          <w:sz w:val="32"/>
          <w:szCs w:val="32"/>
          <w:highlight w:val="none"/>
        </w:rPr>
      </w:pPr>
    </w:p>
    <w:p w14:paraId="0E4F4F67">
      <w:pPr>
        <w:spacing w:line="360" w:lineRule="auto"/>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（填写正本或副本）</w:t>
      </w:r>
    </w:p>
    <w:p w14:paraId="6762BF6A">
      <w:pPr>
        <w:spacing w:line="360" w:lineRule="auto"/>
        <w:ind w:firstLine="482" w:firstLineChars="200"/>
        <w:jc w:val="center"/>
        <w:rPr>
          <w:rFonts w:hint="eastAsia" w:ascii="宋体" w:hAnsi="宋体" w:eastAsia="宋体" w:cs="宋体"/>
          <w:b/>
          <w:bCs w:val="0"/>
          <w:color w:val="auto"/>
          <w:kern w:val="0"/>
          <w:sz w:val="24"/>
          <w:szCs w:val="24"/>
          <w:highlight w:val="none"/>
        </w:rPr>
      </w:pPr>
    </w:p>
    <w:p w14:paraId="484D0028">
      <w:pPr>
        <w:pStyle w:val="2"/>
        <w:rPr>
          <w:rFonts w:hint="eastAsia" w:ascii="宋体" w:hAnsi="宋体" w:eastAsia="宋体" w:cs="宋体"/>
          <w:b/>
          <w:bCs w:val="0"/>
          <w:color w:val="auto"/>
          <w:kern w:val="0"/>
          <w:sz w:val="24"/>
          <w:szCs w:val="24"/>
          <w:highlight w:val="none"/>
        </w:rPr>
      </w:pPr>
    </w:p>
    <w:p w14:paraId="7D4322B4">
      <w:pPr>
        <w:rPr>
          <w:rFonts w:hint="eastAsia" w:ascii="宋体" w:hAnsi="宋体" w:eastAsia="宋体" w:cs="宋体"/>
          <w:b/>
          <w:bCs w:val="0"/>
          <w:color w:val="auto"/>
          <w:kern w:val="0"/>
          <w:sz w:val="24"/>
          <w:szCs w:val="24"/>
          <w:highlight w:val="none"/>
        </w:rPr>
      </w:pPr>
    </w:p>
    <w:p w14:paraId="1F49F015">
      <w:pPr>
        <w:pStyle w:val="2"/>
        <w:rPr>
          <w:rFonts w:hint="eastAsia" w:ascii="宋体" w:hAnsi="宋体" w:eastAsia="宋体" w:cs="宋体"/>
          <w:b/>
          <w:bCs w:val="0"/>
          <w:color w:val="auto"/>
          <w:kern w:val="0"/>
          <w:sz w:val="24"/>
          <w:szCs w:val="24"/>
          <w:highlight w:val="none"/>
        </w:rPr>
      </w:pPr>
    </w:p>
    <w:p w14:paraId="00964DF9">
      <w:pPr>
        <w:rPr>
          <w:rFonts w:hint="eastAsia" w:ascii="宋体" w:hAnsi="宋体" w:eastAsia="宋体" w:cs="宋体"/>
          <w:b/>
          <w:bCs w:val="0"/>
          <w:color w:val="auto"/>
          <w:highlight w:val="none"/>
        </w:rPr>
      </w:pPr>
    </w:p>
    <w:p w14:paraId="4C571C62">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项目名称：</w:t>
      </w:r>
      <w:r>
        <w:rPr>
          <w:rFonts w:hint="eastAsia" w:ascii="宋体" w:hAnsi="宋体" w:eastAsia="宋体" w:cs="宋体"/>
          <w:b/>
          <w:bCs w:val="0"/>
          <w:color w:val="auto"/>
          <w:kern w:val="0"/>
          <w:sz w:val="24"/>
          <w:szCs w:val="24"/>
          <w:highlight w:val="none"/>
          <w:u w:val="single"/>
        </w:rPr>
        <w:t xml:space="preserve">               </w:t>
      </w:r>
    </w:p>
    <w:p w14:paraId="6FB93F94">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项目编号：</w:t>
      </w:r>
      <w:r>
        <w:rPr>
          <w:rFonts w:hint="eastAsia" w:ascii="宋体" w:hAnsi="宋体" w:eastAsia="宋体" w:cs="宋体"/>
          <w:b/>
          <w:bCs w:val="0"/>
          <w:color w:val="auto"/>
          <w:kern w:val="0"/>
          <w:sz w:val="24"/>
          <w:szCs w:val="24"/>
          <w:highlight w:val="none"/>
          <w:u w:val="single"/>
        </w:rPr>
        <w:t xml:space="preserve">               </w:t>
      </w:r>
    </w:p>
    <w:p w14:paraId="3A5BC1EB">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所投采购包：</w:t>
      </w:r>
      <w:r>
        <w:rPr>
          <w:rFonts w:hint="eastAsia" w:ascii="宋体" w:hAnsi="宋体" w:eastAsia="宋体" w:cs="宋体"/>
          <w:b/>
          <w:bCs w:val="0"/>
          <w:color w:val="auto"/>
          <w:kern w:val="0"/>
          <w:sz w:val="24"/>
          <w:szCs w:val="24"/>
          <w:highlight w:val="none"/>
          <w:u w:val="single"/>
        </w:rPr>
        <w:t xml:space="preserve">             </w:t>
      </w:r>
    </w:p>
    <w:p w14:paraId="42FC9972">
      <w:pPr>
        <w:keepNext w:val="0"/>
        <w:keepLines w:val="0"/>
        <w:pageBreakBefore w:val="0"/>
        <w:widowControl w:val="0"/>
        <w:kinsoku/>
        <w:wordWrap/>
        <w:overflowPunct/>
        <w:topLinePunct w:val="0"/>
        <w:autoSpaceDE/>
        <w:autoSpaceDN/>
        <w:bidi w:val="0"/>
        <w:adjustRightInd/>
        <w:snapToGrid/>
        <w:spacing w:line="360" w:lineRule="auto"/>
        <w:ind w:left="1470" w:leftChars="700" w:firstLine="482" w:firstLineChars="200"/>
        <w:jc w:val="center"/>
        <w:textAlignment w:val="auto"/>
        <w:rPr>
          <w:rFonts w:hint="eastAsia" w:ascii="宋体" w:hAnsi="宋体" w:eastAsia="宋体" w:cs="宋体"/>
          <w:b/>
          <w:bCs w:val="0"/>
          <w:color w:val="auto"/>
          <w:kern w:val="0"/>
          <w:sz w:val="24"/>
          <w:szCs w:val="24"/>
          <w:highlight w:val="none"/>
        </w:rPr>
      </w:pPr>
    </w:p>
    <w:p w14:paraId="3790AC49">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供应商：</w:t>
      </w:r>
      <w:r>
        <w:rPr>
          <w:rFonts w:hint="eastAsia" w:ascii="宋体" w:hAnsi="宋体" w:eastAsia="宋体" w:cs="宋体"/>
          <w:b/>
          <w:bCs w:val="0"/>
          <w:color w:val="auto"/>
          <w:kern w:val="0"/>
          <w:sz w:val="24"/>
          <w:szCs w:val="24"/>
          <w:highlight w:val="none"/>
          <w:u w:val="single"/>
        </w:rPr>
        <w:t xml:space="preserve">                 </w:t>
      </w:r>
    </w:p>
    <w:p w14:paraId="1E4724B0">
      <w:pPr>
        <w:keepNext w:val="0"/>
        <w:keepLines w:val="0"/>
        <w:pageBreakBefore w:val="0"/>
        <w:widowControl w:val="0"/>
        <w:kinsoku/>
        <w:wordWrap/>
        <w:overflowPunct/>
        <w:topLinePunct w:val="0"/>
        <w:autoSpaceDE/>
        <w:autoSpaceDN/>
        <w:bidi w:val="0"/>
        <w:adjustRightInd/>
        <w:snapToGrid/>
        <w:spacing w:line="360" w:lineRule="auto"/>
        <w:ind w:left="1470" w:leftChars="700" w:firstLine="1687" w:firstLineChars="700"/>
        <w:textAlignment w:val="auto"/>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日  期：</w:t>
      </w:r>
      <w:r>
        <w:rPr>
          <w:rFonts w:hint="eastAsia" w:ascii="宋体" w:hAnsi="宋体" w:eastAsia="宋体" w:cs="宋体"/>
          <w:b/>
          <w:bCs w:val="0"/>
          <w:color w:val="auto"/>
          <w:kern w:val="0"/>
          <w:sz w:val="24"/>
          <w:szCs w:val="24"/>
          <w:highlight w:val="none"/>
          <w:u w:val="single"/>
        </w:rPr>
        <w:t xml:space="preserve">                 </w:t>
      </w:r>
    </w:p>
    <w:p w14:paraId="2EDDC653">
      <w:pPr>
        <w:widowControl/>
        <w:spacing w:after="0" w:line="240" w:lineRule="auto"/>
        <w:jc w:val="center"/>
        <w:rPr>
          <w:rFonts w:hint="eastAsia" w:ascii="宋体" w:hAnsi="宋体" w:eastAsia="宋体" w:cs="宋体"/>
          <w:b/>
          <w:bCs/>
          <w:color w:val="auto"/>
          <w:sz w:val="28"/>
          <w:szCs w:val="28"/>
          <w:highlight w:val="none"/>
        </w:rPr>
      </w:pPr>
      <w:r>
        <w:rPr>
          <w:rFonts w:hint="eastAsia" w:ascii="宋体" w:hAnsi="宋体" w:eastAsia="宋体" w:cs="宋体"/>
          <w:b/>
          <w:bCs w:val="0"/>
          <w:color w:val="auto"/>
          <w:sz w:val="36"/>
          <w:szCs w:val="36"/>
          <w:highlight w:val="none"/>
        </w:rPr>
        <w:br w:type="page"/>
      </w:r>
      <w:bookmarkEnd w:id="34"/>
      <w:bookmarkEnd w:id="35"/>
      <w:bookmarkEnd w:id="36"/>
      <w:bookmarkEnd w:id="37"/>
      <w:bookmarkEnd w:id="38"/>
      <w:bookmarkEnd w:id="39"/>
      <w:bookmarkEnd w:id="40"/>
      <w:bookmarkEnd w:id="41"/>
      <w:bookmarkEnd w:id="42"/>
      <w:bookmarkEnd w:id="43"/>
      <w:r>
        <w:rPr>
          <w:rFonts w:hint="eastAsia" w:ascii="宋体" w:hAnsi="宋体" w:eastAsia="宋体" w:cs="宋体"/>
          <w:b/>
          <w:bCs/>
          <w:color w:val="auto"/>
          <w:sz w:val="28"/>
          <w:szCs w:val="28"/>
          <w:highlight w:val="none"/>
        </w:rPr>
        <w:t>格式</w:t>
      </w: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 xml:space="preserve"> 技术条款偏离表</w:t>
      </w:r>
    </w:p>
    <w:tbl>
      <w:tblPr>
        <w:tblStyle w:val="15"/>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28"/>
        <w:gridCol w:w="1516"/>
        <w:gridCol w:w="2116"/>
        <w:gridCol w:w="1684"/>
        <w:gridCol w:w="2090"/>
        <w:gridCol w:w="832"/>
      </w:tblGrid>
      <w:tr w14:paraId="1B491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461321F4">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16" w:type="dxa"/>
            <w:vAlign w:val="top"/>
          </w:tcPr>
          <w:p w14:paraId="534C146A">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b/>
                <w:color w:val="auto"/>
                <w:sz w:val="21"/>
                <w:szCs w:val="21"/>
                <w:highlight w:val="none"/>
              </w:rPr>
              <w:t>文件</w:t>
            </w:r>
          </w:p>
          <w:p w14:paraId="25FFB61B">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技术部分序号</w:t>
            </w:r>
          </w:p>
        </w:tc>
        <w:tc>
          <w:tcPr>
            <w:tcW w:w="2116" w:type="dxa"/>
            <w:vAlign w:val="center"/>
          </w:tcPr>
          <w:p w14:paraId="423864FB">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磋商</w:t>
            </w:r>
            <w:r>
              <w:rPr>
                <w:rFonts w:hint="eastAsia" w:ascii="宋体" w:hAnsi="宋体" w:eastAsia="宋体" w:cs="宋体"/>
                <w:b/>
                <w:color w:val="auto"/>
                <w:sz w:val="21"/>
                <w:szCs w:val="21"/>
                <w:highlight w:val="none"/>
              </w:rPr>
              <w:t>文件</w:t>
            </w:r>
          </w:p>
          <w:p w14:paraId="6897668A">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技术部分内容要求</w:t>
            </w:r>
          </w:p>
        </w:tc>
        <w:tc>
          <w:tcPr>
            <w:tcW w:w="1684" w:type="dxa"/>
            <w:vAlign w:val="center"/>
          </w:tcPr>
          <w:p w14:paraId="5099A242">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响应文件</w:t>
            </w:r>
          </w:p>
          <w:p w14:paraId="1D3BA98A">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应答情况</w:t>
            </w:r>
          </w:p>
        </w:tc>
        <w:tc>
          <w:tcPr>
            <w:tcW w:w="2090" w:type="dxa"/>
            <w:vAlign w:val="center"/>
          </w:tcPr>
          <w:p w14:paraId="5B8B0729">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偏离（无/正/负）</w:t>
            </w:r>
          </w:p>
        </w:tc>
        <w:tc>
          <w:tcPr>
            <w:tcW w:w="832" w:type="dxa"/>
            <w:vAlign w:val="center"/>
          </w:tcPr>
          <w:p w14:paraId="3AE6A58E">
            <w:pPr>
              <w:adjustRightInd w:val="0"/>
              <w:snapToGri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D709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128D844F">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6" w:type="dxa"/>
            <w:vAlign w:val="center"/>
          </w:tcPr>
          <w:p w14:paraId="30578818">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2116" w:type="dxa"/>
            <w:vAlign w:val="center"/>
          </w:tcPr>
          <w:p w14:paraId="797DDEC6">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684" w:type="dxa"/>
            <w:vAlign w:val="center"/>
          </w:tcPr>
          <w:p w14:paraId="0CB2CE46">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14:paraId="6024E9F5">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14:paraId="0231E135">
            <w:pPr>
              <w:adjustRightInd w:val="0"/>
              <w:snapToGrid w:val="0"/>
              <w:spacing w:after="0" w:line="240" w:lineRule="auto"/>
              <w:jc w:val="center"/>
              <w:rPr>
                <w:rFonts w:hint="eastAsia" w:ascii="宋体" w:hAnsi="宋体" w:eastAsia="宋体" w:cs="宋体"/>
                <w:color w:val="auto"/>
                <w:sz w:val="21"/>
                <w:szCs w:val="21"/>
                <w:highlight w:val="none"/>
              </w:rPr>
            </w:pPr>
          </w:p>
        </w:tc>
      </w:tr>
      <w:tr w14:paraId="35732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3847D9A3">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16" w:type="dxa"/>
            <w:vAlign w:val="center"/>
          </w:tcPr>
          <w:p w14:paraId="0BC8A9DF">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2116" w:type="dxa"/>
            <w:vAlign w:val="center"/>
          </w:tcPr>
          <w:p w14:paraId="6EE68D7F">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684" w:type="dxa"/>
            <w:vAlign w:val="center"/>
          </w:tcPr>
          <w:p w14:paraId="32021578">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14:paraId="663CD40B">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14:paraId="258310FC">
            <w:pPr>
              <w:adjustRightInd w:val="0"/>
              <w:snapToGrid w:val="0"/>
              <w:spacing w:after="0" w:line="240" w:lineRule="auto"/>
              <w:jc w:val="center"/>
              <w:rPr>
                <w:rFonts w:hint="eastAsia" w:ascii="宋体" w:hAnsi="宋体" w:eastAsia="宋体" w:cs="宋体"/>
                <w:color w:val="auto"/>
                <w:sz w:val="21"/>
                <w:szCs w:val="21"/>
                <w:highlight w:val="none"/>
              </w:rPr>
            </w:pPr>
          </w:p>
        </w:tc>
      </w:tr>
      <w:tr w14:paraId="29A0C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1CC83966">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16" w:type="dxa"/>
            <w:vAlign w:val="center"/>
          </w:tcPr>
          <w:p w14:paraId="4A4CFD6E">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2116" w:type="dxa"/>
            <w:vAlign w:val="center"/>
          </w:tcPr>
          <w:p w14:paraId="4A6D5DED">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684" w:type="dxa"/>
            <w:vAlign w:val="center"/>
          </w:tcPr>
          <w:p w14:paraId="10EA91DD">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14:paraId="2F65553C">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14:paraId="6146D35D">
            <w:pPr>
              <w:adjustRightInd w:val="0"/>
              <w:snapToGrid w:val="0"/>
              <w:spacing w:after="0" w:line="240" w:lineRule="auto"/>
              <w:jc w:val="center"/>
              <w:rPr>
                <w:rFonts w:hint="eastAsia" w:ascii="宋体" w:hAnsi="宋体" w:eastAsia="宋体" w:cs="宋体"/>
                <w:color w:val="auto"/>
                <w:sz w:val="21"/>
                <w:szCs w:val="21"/>
                <w:highlight w:val="none"/>
              </w:rPr>
            </w:pPr>
          </w:p>
        </w:tc>
      </w:tr>
      <w:tr w14:paraId="75EAA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3DA46916">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16" w:type="dxa"/>
            <w:vAlign w:val="center"/>
          </w:tcPr>
          <w:p w14:paraId="617F55EC">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2116" w:type="dxa"/>
            <w:vAlign w:val="center"/>
          </w:tcPr>
          <w:p w14:paraId="17925517">
            <w:pPr>
              <w:adjustRightInd w:val="0"/>
              <w:snapToGrid w:val="0"/>
              <w:spacing w:after="0" w:line="240" w:lineRule="auto"/>
              <w:ind w:left="50" w:leftChars="24" w:right="55" w:rightChars="26"/>
              <w:jc w:val="center"/>
              <w:rPr>
                <w:rFonts w:hint="eastAsia" w:ascii="宋体" w:hAnsi="宋体" w:eastAsia="宋体" w:cs="宋体"/>
                <w:color w:val="auto"/>
                <w:sz w:val="21"/>
                <w:szCs w:val="21"/>
                <w:highlight w:val="none"/>
              </w:rPr>
            </w:pPr>
          </w:p>
        </w:tc>
        <w:tc>
          <w:tcPr>
            <w:tcW w:w="1684" w:type="dxa"/>
            <w:vAlign w:val="center"/>
          </w:tcPr>
          <w:p w14:paraId="38AE611D">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14:paraId="0FBBD534">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14:paraId="2D2577C8">
            <w:pPr>
              <w:adjustRightInd w:val="0"/>
              <w:snapToGrid w:val="0"/>
              <w:spacing w:after="0" w:line="240" w:lineRule="auto"/>
              <w:jc w:val="center"/>
              <w:rPr>
                <w:rFonts w:hint="eastAsia" w:ascii="宋体" w:hAnsi="宋体" w:eastAsia="宋体" w:cs="宋体"/>
                <w:color w:val="auto"/>
                <w:sz w:val="21"/>
                <w:szCs w:val="21"/>
                <w:highlight w:val="none"/>
              </w:rPr>
            </w:pPr>
          </w:p>
        </w:tc>
      </w:tr>
      <w:tr w14:paraId="60909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0450598E">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16" w:type="dxa"/>
            <w:vAlign w:val="center"/>
          </w:tcPr>
          <w:p w14:paraId="2D57DC62">
            <w:pPr>
              <w:adjustRightInd w:val="0"/>
              <w:snapToGrid w:val="0"/>
              <w:spacing w:after="0" w:line="240" w:lineRule="auto"/>
              <w:jc w:val="center"/>
              <w:rPr>
                <w:rFonts w:hint="eastAsia" w:ascii="宋体" w:hAnsi="宋体" w:eastAsia="宋体" w:cs="宋体"/>
                <w:color w:val="auto"/>
                <w:sz w:val="21"/>
                <w:szCs w:val="21"/>
                <w:highlight w:val="none"/>
              </w:rPr>
            </w:pPr>
          </w:p>
        </w:tc>
        <w:tc>
          <w:tcPr>
            <w:tcW w:w="2116" w:type="dxa"/>
            <w:vAlign w:val="center"/>
          </w:tcPr>
          <w:p w14:paraId="3F1D75DE">
            <w:pPr>
              <w:adjustRightInd w:val="0"/>
              <w:snapToGrid w:val="0"/>
              <w:spacing w:after="0" w:line="240" w:lineRule="auto"/>
              <w:jc w:val="center"/>
              <w:rPr>
                <w:rFonts w:hint="eastAsia" w:ascii="宋体" w:hAnsi="宋体" w:eastAsia="宋体" w:cs="宋体"/>
                <w:color w:val="auto"/>
                <w:sz w:val="21"/>
                <w:szCs w:val="21"/>
                <w:highlight w:val="none"/>
              </w:rPr>
            </w:pPr>
          </w:p>
        </w:tc>
        <w:tc>
          <w:tcPr>
            <w:tcW w:w="1684" w:type="dxa"/>
            <w:vAlign w:val="center"/>
          </w:tcPr>
          <w:p w14:paraId="628AA436">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14:paraId="4A52F036">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14:paraId="60F1D8A2">
            <w:pPr>
              <w:adjustRightInd w:val="0"/>
              <w:snapToGrid w:val="0"/>
              <w:spacing w:after="0" w:line="240" w:lineRule="auto"/>
              <w:jc w:val="center"/>
              <w:rPr>
                <w:rFonts w:hint="eastAsia" w:ascii="宋体" w:hAnsi="宋体" w:eastAsia="宋体" w:cs="宋体"/>
                <w:color w:val="auto"/>
                <w:sz w:val="21"/>
                <w:szCs w:val="21"/>
                <w:highlight w:val="none"/>
              </w:rPr>
            </w:pPr>
          </w:p>
        </w:tc>
      </w:tr>
      <w:tr w14:paraId="79B02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28" w:type="dxa"/>
            <w:vAlign w:val="center"/>
          </w:tcPr>
          <w:p w14:paraId="5359C251">
            <w:pPr>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16" w:type="dxa"/>
            <w:vAlign w:val="center"/>
          </w:tcPr>
          <w:p w14:paraId="4C14CB64">
            <w:pPr>
              <w:adjustRightInd w:val="0"/>
              <w:snapToGrid w:val="0"/>
              <w:spacing w:after="0" w:line="240" w:lineRule="auto"/>
              <w:jc w:val="center"/>
              <w:rPr>
                <w:rFonts w:hint="eastAsia" w:ascii="宋体" w:hAnsi="宋体" w:eastAsia="宋体" w:cs="宋体"/>
                <w:color w:val="auto"/>
                <w:sz w:val="21"/>
                <w:szCs w:val="21"/>
                <w:highlight w:val="none"/>
              </w:rPr>
            </w:pPr>
          </w:p>
        </w:tc>
        <w:tc>
          <w:tcPr>
            <w:tcW w:w="2116" w:type="dxa"/>
            <w:vAlign w:val="center"/>
          </w:tcPr>
          <w:p w14:paraId="1F34DE92">
            <w:pPr>
              <w:adjustRightInd w:val="0"/>
              <w:snapToGrid w:val="0"/>
              <w:spacing w:after="0" w:line="240" w:lineRule="auto"/>
              <w:jc w:val="center"/>
              <w:rPr>
                <w:rFonts w:hint="eastAsia" w:ascii="宋体" w:hAnsi="宋体" w:eastAsia="宋体" w:cs="宋体"/>
                <w:color w:val="auto"/>
                <w:sz w:val="21"/>
                <w:szCs w:val="21"/>
                <w:highlight w:val="none"/>
              </w:rPr>
            </w:pPr>
          </w:p>
        </w:tc>
        <w:tc>
          <w:tcPr>
            <w:tcW w:w="1684" w:type="dxa"/>
            <w:vAlign w:val="center"/>
          </w:tcPr>
          <w:p w14:paraId="071CB159">
            <w:pPr>
              <w:adjustRightInd w:val="0"/>
              <w:snapToGrid w:val="0"/>
              <w:spacing w:after="0" w:line="240" w:lineRule="auto"/>
              <w:jc w:val="center"/>
              <w:rPr>
                <w:rFonts w:hint="eastAsia" w:ascii="宋体" w:hAnsi="宋体" w:eastAsia="宋体" w:cs="宋体"/>
                <w:color w:val="auto"/>
                <w:sz w:val="21"/>
                <w:szCs w:val="21"/>
                <w:highlight w:val="none"/>
              </w:rPr>
            </w:pPr>
          </w:p>
        </w:tc>
        <w:tc>
          <w:tcPr>
            <w:tcW w:w="2090" w:type="dxa"/>
            <w:vAlign w:val="center"/>
          </w:tcPr>
          <w:p w14:paraId="4B60F4EE">
            <w:pPr>
              <w:adjustRightInd w:val="0"/>
              <w:snapToGrid w:val="0"/>
              <w:spacing w:after="0" w:line="240" w:lineRule="auto"/>
              <w:jc w:val="center"/>
              <w:rPr>
                <w:rFonts w:hint="eastAsia" w:ascii="宋体" w:hAnsi="宋体" w:eastAsia="宋体" w:cs="宋体"/>
                <w:color w:val="auto"/>
                <w:sz w:val="21"/>
                <w:szCs w:val="21"/>
                <w:highlight w:val="none"/>
              </w:rPr>
            </w:pPr>
          </w:p>
        </w:tc>
        <w:tc>
          <w:tcPr>
            <w:tcW w:w="832" w:type="dxa"/>
            <w:vAlign w:val="center"/>
          </w:tcPr>
          <w:p w14:paraId="4C2416DE">
            <w:pPr>
              <w:adjustRightInd w:val="0"/>
              <w:snapToGrid w:val="0"/>
              <w:spacing w:after="0" w:line="240" w:lineRule="auto"/>
              <w:jc w:val="center"/>
              <w:rPr>
                <w:rFonts w:hint="eastAsia" w:ascii="宋体" w:hAnsi="宋体" w:eastAsia="宋体" w:cs="宋体"/>
                <w:color w:val="auto"/>
                <w:sz w:val="21"/>
                <w:szCs w:val="21"/>
                <w:highlight w:val="none"/>
              </w:rPr>
            </w:pPr>
          </w:p>
        </w:tc>
      </w:tr>
    </w:tbl>
    <w:p w14:paraId="2E569803">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5F6B80FF">
      <w:pPr>
        <w:topLinePunct/>
        <w:autoSpaceDE w:val="0"/>
        <w:autoSpaceDN w:val="0"/>
        <w:spacing w:after="0"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供</w:t>
      </w:r>
      <w:r>
        <w:rPr>
          <w:rFonts w:hint="eastAsia" w:ascii="宋体" w:hAnsi="宋体" w:eastAsia="宋体" w:cs="宋体"/>
          <w:b w:val="0"/>
          <w:bCs w:val="0"/>
          <w:color w:val="auto"/>
          <w:szCs w:val="21"/>
          <w:highlight w:val="none"/>
          <w:lang w:val="en-US" w:eastAsia="zh-CN"/>
        </w:rPr>
        <w:t>应商</w:t>
      </w:r>
      <w:r>
        <w:rPr>
          <w:rFonts w:hint="eastAsia" w:ascii="宋体" w:hAnsi="宋体" w:eastAsia="宋体" w:cs="宋体"/>
          <w:b w:val="0"/>
          <w:bCs w:val="0"/>
          <w:color w:val="auto"/>
          <w:highlight w:val="none"/>
        </w:rPr>
        <w:t>应按</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文件《第六章　项目采购需求》中的</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技术要求</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，结合自身投标情况对技术条款逐条响应。</w:t>
      </w:r>
      <w:r>
        <w:rPr>
          <w:rFonts w:hint="eastAsia" w:ascii="宋体" w:hAnsi="宋体" w:eastAsia="宋体" w:cs="宋体"/>
          <w:b w:val="0"/>
          <w:bCs w:val="0"/>
          <w:color w:val="auto"/>
          <w:szCs w:val="21"/>
          <w:highlight w:val="none"/>
        </w:rPr>
        <w:t>如果对</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文件《第六章　项目采购需求》中的</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技术要求</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szCs w:val="21"/>
          <w:highlight w:val="none"/>
        </w:rPr>
        <w:t>内容不做一一响应，而将“响应文件应答情况”简单笼统描述为“无偏离”，则视为无效应答。</w:t>
      </w:r>
    </w:p>
    <w:p w14:paraId="0ED99CFE">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文件《第六章　项目采购需求》中的</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技术要求</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rPr>
        <w:t>内容须条对条应答，不得遗漏；如有遗漏，则视为无效应答。如无偏离，请在此表中填写“无偏离”。如有偏离，请在此表中应答为“正/负偏离”并说明偏离情况；</w:t>
      </w:r>
    </w:p>
    <w:p w14:paraId="78EAFCA4">
      <w:pPr>
        <w:topLinePunct/>
        <w:autoSpaceDE w:val="0"/>
        <w:autoSpaceDN w:val="0"/>
        <w:spacing w:after="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w:t>
      </w:r>
      <w:r>
        <w:rPr>
          <w:rFonts w:hint="eastAsia" w:ascii="宋体" w:hAnsi="宋体" w:eastAsia="宋体" w:cs="宋体"/>
          <w:b w:val="0"/>
          <w:bCs w:val="0"/>
          <w:color w:val="auto"/>
          <w:highlight w:val="none"/>
          <w:lang w:val="en-US" w:eastAsia="zh-CN"/>
        </w:rPr>
        <w:t>磋商</w:t>
      </w:r>
      <w:r>
        <w:rPr>
          <w:rFonts w:hint="eastAsia" w:ascii="宋体" w:hAnsi="宋体" w:eastAsia="宋体" w:cs="宋体"/>
          <w:b w:val="0"/>
          <w:bCs w:val="0"/>
          <w:color w:val="auto"/>
          <w:highlight w:val="none"/>
        </w:rPr>
        <w:t>文件《第六章　项目采购需求》中的</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技术要求</w:t>
      </w:r>
      <w:r>
        <w:rPr>
          <w:rFonts w:hint="eastAsia" w:ascii="宋体" w:hAnsi="宋体" w:eastAsia="宋体" w:cs="宋体"/>
          <w:b w:val="0"/>
          <w:bCs w:val="0"/>
          <w:color w:val="auto"/>
          <w:highlight w:val="none"/>
          <w:lang w:eastAsia="zh-CN"/>
        </w:rPr>
        <w:t>”</w:t>
      </w:r>
      <w:r>
        <w:rPr>
          <w:rFonts w:hint="eastAsia" w:ascii="宋体" w:hAnsi="宋体" w:eastAsia="宋体" w:cs="宋体"/>
          <w:color w:val="auto"/>
          <w:szCs w:val="21"/>
          <w:highlight w:val="none"/>
        </w:rPr>
        <w:t>中有标注★号的，则为实质性要求，必须满足，如应答为“负偏离”，将导致响应无效。</w:t>
      </w:r>
    </w:p>
    <w:p w14:paraId="4B96F505">
      <w:pPr>
        <w:adjustRightInd w:val="0"/>
        <w:snapToGrid w:val="0"/>
        <w:spacing w:line="360" w:lineRule="auto"/>
        <w:ind w:firstLine="480" w:firstLineChars="200"/>
        <w:rPr>
          <w:rFonts w:hint="eastAsia" w:ascii="宋体" w:hAnsi="宋体" w:eastAsia="宋体" w:cs="宋体"/>
          <w:color w:val="auto"/>
          <w:sz w:val="24"/>
          <w:highlight w:val="none"/>
        </w:rPr>
      </w:pPr>
    </w:p>
    <w:p w14:paraId="5A3762C1">
      <w:pPr>
        <w:pStyle w:val="26"/>
        <w:spacing w:after="156"/>
        <w:ind w:firstLine="400"/>
        <w:rPr>
          <w:rFonts w:hint="eastAsia" w:ascii="宋体" w:hAnsi="宋体" w:eastAsia="宋体" w:cs="宋体"/>
          <w:color w:val="auto"/>
          <w:sz w:val="21"/>
          <w:szCs w:val="21"/>
          <w:highlight w:val="none"/>
        </w:rPr>
      </w:pPr>
    </w:p>
    <w:p w14:paraId="1A45F250">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（全称并加盖公章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C017523">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授权代表（签字）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E576AE1">
      <w:pPr>
        <w:tabs>
          <w:tab w:val="left" w:pos="1230"/>
        </w:tabs>
        <w:topLinePunct/>
        <w:autoSpaceDE w:val="0"/>
        <w:autoSpaceDN w:val="0"/>
        <w:adjustRightInd w:val="0"/>
        <w:snapToGrid w:val="0"/>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0B859633">
      <w:pPr>
        <w:jc w:val="center"/>
        <w:rPr>
          <w:rFonts w:hint="eastAsia" w:ascii="宋体" w:hAnsi="宋体" w:eastAsia="宋体" w:cs="宋体"/>
          <w:color w:val="auto"/>
          <w:sz w:val="24"/>
          <w:highlight w:val="none"/>
        </w:rPr>
        <w:sectPr>
          <w:pgSz w:w="11906" w:h="16838"/>
          <w:pgMar w:top="1417" w:right="1417" w:bottom="1417" w:left="1417" w:header="851" w:footer="992" w:gutter="0"/>
          <w:pgNumType w:fmt="decimal"/>
          <w:cols w:space="720" w:num="1"/>
          <w:titlePg/>
          <w:docGrid w:type="lines" w:linePitch="312" w:charSpace="0"/>
        </w:sectPr>
      </w:pPr>
    </w:p>
    <w:p w14:paraId="51467BB5">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格式1</w:t>
      </w:r>
      <w:r>
        <w:rPr>
          <w:rFonts w:hint="eastAsia" w:ascii="宋体" w:hAnsi="宋体" w:eastAsia="宋体" w:cs="宋体"/>
          <w:b/>
          <w:bCs/>
          <w:color w:val="auto"/>
          <w:sz w:val="28"/>
          <w:szCs w:val="28"/>
          <w:highlight w:val="none"/>
          <w:lang w:val="en-US" w:eastAsia="zh-CN"/>
        </w:rPr>
        <w:t xml:space="preserve">1  </w:t>
      </w:r>
      <w:r>
        <w:rPr>
          <w:rFonts w:hint="eastAsia" w:ascii="宋体" w:hAnsi="宋体" w:eastAsia="宋体" w:cs="宋体"/>
          <w:b/>
          <w:bCs/>
          <w:color w:val="auto"/>
          <w:sz w:val="28"/>
          <w:szCs w:val="28"/>
          <w:highlight w:val="none"/>
        </w:rPr>
        <w:t>服务方案</w:t>
      </w:r>
    </w:p>
    <w:p w14:paraId="38CDF10C">
      <w:pPr>
        <w:spacing w:after="0" w:line="240" w:lineRule="auto"/>
        <w:ind w:firstLine="560" w:firstLineChars="200"/>
        <w:rPr>
          <w:rFonts w:hint="eastAsia" w:ascii="宋体" w:hAnsi="宋体" w:eastAsia="宋体" w:cs="宋体"/>
          <w:color w:val="auto"/>
          <w:sz w:val="28"/>
          <w:szCs w:val="28"/>
          <w:highlight w:val="none"/>
        </w:rPr>
      </w:pPr>
    </w:p>
    <w:p w14:paraId="700E3FCD">
      <w:pPr>
        <w:keepNext w:val="0"/>
        <w:keepLines w:val="0"/>
        <w:pageBreakBefore w:val="0"/>
        <w:widowControl w:val="0"/>
        <w:kinsoku/>
        <w:wordWrap/>
        <w:overflowPunct/>
        <w:topLinePunct w:val="0"/>
        <w:autoSpaceDE/>
        <w:autoSpaceDN/>
        <w:bidi w:val="0"/>
        <w:adjustRightInd w:val="0"/>
        <w:snapToGrid w:val="0"/>
        <w:spacing w:after="0" w:line="360" w:lineRule="auto"/>
        <w:ind w:firstLine="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28"/>
          <w:szCs w:val="28"/>
          <w:highlight w:val="none"/>
        </w:rPr>
        <w:t>服务方案说明</w:t>
      </w:r>
    </w:p>
    <w:p w14:paraId="2BA668D2">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服务类项目供应商应根据第六章规定编写服务方案说明。服务方案说明包括但不限于：</w:t>
      </w:r>
    </w:p>
    <w:p w14:paraId="774C5289">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服务目标、范围和任务；</w:t>
      </w:r>
    </w:p>
    <w:p w14:paraId="5EF2870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服务方案；</w:t>
      </w:r>
    </w:p>
    <w:p w14:paraId="1198D06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服务团队组织安排计划；</w:t>
      </w:r>
    </w:p>
    <w:p w14:paraId="7EDFF17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工作流程；</w:t>
      </w:r>
    </w:p>
    <w:p w14:paraId="6CDCFA6F">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进度计划及保证措施；</w:t>
      </w:r>
    </w:p>
    <w:p w14:paraId="13034E5E">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质量保证措施；</w:t>
      </w:r>
    </w:p>
    <w:p w14:paraId="1F6CFBA0">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合理化建议；</w:t>
      </w:r>
    </w:p>
    <w:p w14:paraId="63D97C7B">
      <w:pPr>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其他。</w:t>
      </w:r>
    </w:p>
    <w:p w14:paraId="43A81B08">
      <w:pPr>
        <w:spacing w:after="0" w:line="240" w:lineRule="auto"/>
        <w:ind w:firstLine="420" w:firstLineChars="200"/>
        <w:rPr>
          <w:rFonts w:hint="eastAsia" w:ascii="宋体" w:hAnsi="宋体" w:eastAsia="宋体" w:cs="宋体"/>
          <w:color w:val="auto"/>
          <w:szCs w:val="21"/>
          <w:highlight w:val="none"/>
        </w:rPr>
      </w:pPr>
    </w:p>
    <w:p w14:paraId="517B50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highlight w:val="none"/>
        </w:rPr>
      </w:pPr>
    </w:p>
    <w:p w14:paraId="2E55215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highlight w:val="none"/>
        </w:rPr>
      </w:pPr>
    </w:p>
    <w:p w14:paraId="67B57F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auto"/>
          <w:kern w:val="0"/>
          <w:sz w:val="24"/>
          <w:highlight w:val="none"/>
        </w:rPr>
      </w:pPr>
    </w:p>
    <w:p w14:paraId="576F9D3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lang w:eastAsia="zh-CN"/>
        </w:rPr>
        <w:t>服务承诺</w:t>
      </w:r>
      <w:r>
        <w:rPr>
          <w:rFonts w:hint="eastAsia" w:ascii="宋体" w:hAnsi="宋体" w:eastAsia="宋体" w:cs="宋体"/>
          <w:b/>
          <w:bCs/>
          <w:color w:val="auto"/>
          <w:kern w:val="2"/>
          <w:sz w:val="28"/>
          <w:szCs w:val="28"/>
          <w:highlight w:val="none"/>
        </w:rPr>
        <w:br w:type="page"/>
      </w:r>
      <w:r>
        <w:rPr>
          <w:rFonts w:hint="eastAsia" w:ascii="宋体" w:hAnsi="宋体" w:eastAsia="宋体" w:cs="宋体"/>
          <w:b/>
          <w:bCs/>
          <w:color w:val="auto"/>
          <w:sz w:val="28"/>
          <w:szCs w:val="28"/>
          <w:highlight w:val="none"/>
        </w:rPr>
        <w:t>格式1</w:t>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拟投入服务人员</w:t>
      </w:r>
      <w:r>
        <w:rPr>
          <w:rFonts w:hint="eastAsia" w:ascii="宋体" w:hAnsi="宋体" w:eastAsia="宋体" w:cs="宋体"/>
          <w:b/>
          <w:bCs/>
          <w:color w:val="auto"/>
          <w:sz w:val="28"/>
          <w:szCs w:val="28"/>
          <w:highlight w:val="none"/>
        </w:rPr>
        <w:t>一览表</w:t>
      </w:r>
    </w:p>
    <w:tbl>
      <w:tblPr>
        <w:tblStyle w:val="1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56"/>
        <w:gridCol w:w="1187"/>
        <w:gridCol w:w="1189"/>
        <w:gridCol w:w="1275"/>
        <w:gridCol w:w="1243"/>
        <w:gridCol w:w="1916"/>
      </w:tblGrid>
      <w:tr w14:paraId="361E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4" w:type="dxa"/>
            <w:tcBorders>
              <w:top w:val="single" w:color="auto" w:sz="4" w:space="0"/>
              <w:left w:val="single" w:color="auto" w:sz="4" w:space="0"/>
              <w:bottom w:val="single" w:color="auto" w:sz="4" w:space="0"/>
              <w:right w:val="single" w:color="auto" w:sz="4" w:space="0"/>
            </w:tcBorders>
            <w:vAlign w:val="center"/>
          </w:tcPr>
          <w:p w14:paraId="59E2CBF6">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56" w:type="dxa"/>
            <w:tcBorders>
              <w:top w:val="single" w:color="auto" w:sz="4" w:space="0"/>
              <w:left w:val="single" w:color="auto" w:sz="4" w:space="0"/>
              <w:bottom w:val="single" w:color="auto" w:sz="4" w:space="0"/>
              <w:right w:val="single" w:color="auto" w:sz="4" w:space="0"/>
            </w:tcBorders>
            <w:vAlign w:val="center"/>
          </w:tcPr>
          <w:p w14:paraId="15FAA276">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 名</w:t>
            </w:r>
          </w:p>
        </w:tc>
        <w:tc>
          <w:tcPr>
            <w:tcW w:w="1187" w:type="dxa"/>
            <w:tcBorders>
              <w:top w:val="single" w:color="auto" w:sz="4" w:space="0"/>
              <w:left w:val="single" w:color="auto" w:sz="4" w:space="0"/>
              <w:bottom w:val="single" w:color="auto" w:sz="4" w:space="0"/>
              <w:right w:val="single" w:color="auto" w:sz="4" w:space="0"/>
            </w:tcBorders>
            <w:vAlign w:val="center"/>
          </w:tcPr>
          <w:p w14:paraId="5D439D68">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技术职称</w:t>
            </w:r>
          </w:p>
        </w:tc>
        <w:tc>
          <w:tcPr>
            <w:tcW w:w="1189" w:type="dxa"/>
            <w:tcBorders>
              <w:top w:val="single" w:color="auto" w:sz="4" w:space="0"/>
              <w:left w:val="single" w:color="auto" w:sz="4" w:space="0"/>
              <w:bottom w:val="single" w:color="auto" w:sz="4" w:space="0"/>
              <w:right w:val="single" w:color="auto" w:sz="4" w:space="0"/>
            </w:tcBorders>
            <w:vAlign w:val="center"/>
          </w:tcPr>
          <w:p w14:paraId="4657D525">
            <w:pPr>
              <w:adjustRightInd w:val="0"/>
              <w:spacing w:after="0" w:line="24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工作年限</w:t>
            </w:r>
          </w:p>
        </w:tc>
        <w:tc>
          <w:tcPr>
            <w:tcW w:w="1275" w:type="dxa"/>
            <w:tcBorders>
              <w:top w:val="single" w:color="auto" w:sz="4" w:space="0"/>
              <w:left w:val="single" w:color="auto" w:sz="4" w:space="0"/>
              <w:bottom w:val="single" w:color="auto" w:sz="4" w:space="0"/>
              <w:right w:val="single" w:color="auto" w:sz="4" w:space="0"/>
            </w:tcBorders>
            <w:vAlign w:val="center"/>
          </w:tcPr>
          <w:p w14:paraId="0A82532F">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本项目中担任职务</w:t>
            </w:r>
          </w:p>
        </w:tc>
        <w:tc>
          <w:tcPr>
            <w:tcW w:w="1243" w:type="dxa"/>
            <w:tcBorders>
              <w:top w:val="single" w:color="auto" w:sz="4" w:space="0"/>
              <w:left w:val="single" w:color="auto" w:sz="4" w:space="0"/>
              <w:bottom w:val="single" w:color="auto" w:sz="4" w:space="0"/>
              <w:right w:val="single" w:color="auto" w:sz="4" w:space="0"/>
            </w:tcBorders>
            <w:vAlign w:val="center"/>
          </w:tcPr>
          <w:p w14:paraId="14476108">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认证情况</w:t>
            </w:r>
          </w:p>
        </w:tc>
        <w:tc>
          <w:tcPr>
            <w:tcW w:w="1916" w:type="dxa"/>
            <w:tcBorders>
              <w:top w:val="single" w:color="auto" w:sz="4" w:space="0"/>
              <w:left w:val="single" w:color="auto" w:sz="4" w:space="0"/>
              <w:bottom w:val="single" w:color="auto" w:sz="4" w:space="0"/>
              <w:right w:val="single" w:color="auto" w:sz="4" w:space="0"/>
            </w:tcBorders>
            <w:vAlign w:val="center"/>
          </w:tcPr>
          <w:p w14:paraId="4AD6F2D1">
            <w:pPr>
              <w:adjustRightInd w:val="0"/>
              <w:spacing w:after="0"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备注</w:t>
            </w:r>
          </w:p>
        </w:tc>
      </w:tr>
      <w:tr w14:paraId="5B82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0" w:type="dxa"/>
            <w:gridSpan w:val="7"/>
            <w:tcBorders>
              <w:top w:val="single" w:color="auto" w:sz="4" w:space="0"/>
              <w:left w:val="single" w:color="auto" w:sz="4" w:space="0"/>
              <w:bottom w:val="single" w:color="auto" w:sz="4" w:space="0"/>
              <w:right w:val="single" w:color="auto" w:sz="4" w:space="0"/>
            </w:tcBorders>
            <w:vAlign w:val="center"/>
          </w:tcPr>
          <w:p w14:paraId="077D9227">
            <w:pPr>
              <w:numPr>
                <w:ilvl w:val="0"/>
                <w:numId w:val="0"/>
              </w:numPr>
              <w:adjustRightInd w:val="0"/>
              <w:spacing w:after="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一、</w:t>
            </w:r>
            <w:r>
              <w:rPr>
                <w:rFonts w:hint="eastAsia" w:ascii="宋体" w:hAnsi="宋体" w:eastAsia="宋体" w:cs="宋体"/>
                <w:b w:val="0"/>
                <w:bCs w:val="0"/>
                <w:color w:val="auto"/>
                <w:sz w:val="21"/>
                <w:szCs w:val="21"/>
                <w:highlight w:val="none"/>
              </w:rPr>
              <w:t>项目管理人员</w:t>
            </w:r>
          </w:p>
          <w:p w14:paraId="1D6D1505">
            <w:pPr>
              <w:adjustRightInd w:val="0"/>
              <w:spacing w:after="0" w:line="240" w:lineRule="auto"/>
              <w:jc w:val="left"/>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（一）项目</w:t>
            </w:r>
            <w:r>
              <w:rPr>
                <w:rFonts w:hint="eastAsia" w:ascii="宋体" w:hAnsi="宋体" w:eastAsia="宋体" w:cs="宋体"/>
                <w:b w:val="0"/>
                <w:bCs w:val="0"/>
                <w:color w:val="auto"/>
                <w:sz w:val="21"/>
                <w:szCs w:val="21"/>
                <w:highlight w:val="none"/>
                <w:lang w:eastAsia="zh-CN"/>
              </w:rPr>
              <w:t>经理</w:t>
            </w:r>
          </w:p>
        </w:tc>
      </w:tr>
      <w:tr w14:paraId="0B20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4" w:type="dxa"/>
            <w:tcBorders>
              <w:top w:val="single" w:color="auto" w:sz="4" w:space="0"/>
              <w:left w:val="single" w:color="auto" w:sz="4" w:space="0"/>
              <w:bottom w:val="single" w:color="auto" w:sz="4" w:space="0"/>
              <w:right w:val="single" w:color="auto" w:sz="4" w:space="0"/>
            </w:tcBorders>
            <w:vAlign w:val="center"/>
          </w:tcPr>
          <w:p w14:paraId="761F8645">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vAlign w:val="center"/>
          </w:tcPr>
          <w:p w14:paraId="218E261D">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CCACE86">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11CE5EBB">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155241F">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653B7559">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7D106832">
            <w:pPr>
              <w:adjustRightInd w:val="0"/>
              <w:spacing w:after="0" w:line="240" w:lineRule="auto"/>
              <w:jc w:val="center"/>
              <w:rPr>
                <w:rFonts w:hint="eastAsia" w:ascii="宋体" w:hAnsi="宋体" w:eastAsia="宋体" w:cs="宋体"/>
                <w:color w:val="auto"/>
                <w:sz w:val="21"/>
                <w:szCs w:val="21"/>
                <w:highlight w:val="none"/>
              </w:rPr>
            </w:pPr>
          </w:p>
        </w:tc>
      </w:tr>
      <w:tr w14:paraId="3AE0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69D136A6">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vAlign w:val="center"/>
          </w:tcPr>
          <w:p w14:paraId="197E88F3">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EC466DD">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16476CF0">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FAEB67A">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5026CF72">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7361A361">
            <w:pPr>
              <w:adjustRightInd w:val="0"/>
              <w:spacing w:after="0" w:line="240" w:lineRule="auto"/>
              <w:jc w:val="center"/>
              <w:rPr>
                <w:rFonts w:hint="eastAsia" w:ascii="宋体" w:hAnsi="宋体" w:eastAsia="宋体" w:cs="宋体"/>
                <w:color w:val="auto"/>
                <w:sz w:val="21"/>
                <w:szCs w:val="21"/>
                <w:highlight w:val="none"/>
              </w:rPr>
            </w:pPr>
          </w:p>
        </w:tc>
      </w:tr>
      <w:tr w14:paraId="038D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70C017DF">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vAlign w:val="center"/>
          </w:tcPr>
          <w:p w14:paraId="2AA1AE5A">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0E24870">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34D93407">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9E2BDF0">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329F7B25">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35F5F273">
            <w:pPr>
              <w:adjustRightInd w:val="0"/>
              <w:spacing w:after="0" w:line="240" w:lineRule="auto"/>
              <w:jc w:val="center"/>
              <w:rPr>
                <w:rFonts w:hint="eastAsia" w:ascii="宋体" w:hAnsi="宋体" w:eastAsia="宋体" w:cs="宋体"/>
                <w:color w:val="auto"/>
                <w:sz w:val="21"/>
                <w:szCs w:val="21"/>
                <w:highlight w:val="none"/>
              </w:rPr>
            </w:pPr>
          </w:p>
        </w:tc>
      </w:tr>
      <w:tr w14:paraId="3D87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14:paraId="407CC9D5">
            <w:pPr>
              <w:adjustRightInd w:val="0"/>
              <w:spacing w:after="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二、XX人员</w:t>
            </w:r>
          </w:p>
        </w:tc>
      </w:tr>
      <w:tr w14:paraId="5BAF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32A78E77">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6" w:type="dxa"/>
            <w:tcBorders>
              <w:top w:val="single" w:color="auto" w:sz="4" w:space="0"/>
              <w:left w:val="single" w:color="auto" w:sz="4" w:space="0"/>
              <w:bottom w:val="single" w:color="auto" w:sz="4" w:space="0"/>
              <w:right w:val="single" w:color="auto" w:sz="4" w:space="0"/>
            </w:tcBorders>
            <w:vAlign w:val="center"/>
          </w:tcPr>
          <w:p w14:paraId="53AF2F5E">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6E757B6">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71A46BA7">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E1D1B8D">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4ACF5AB8">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208B4E5B">
            <w:pPr>
              <w:adjustRightInd w:val="0"/>
              <w:spacing w:after="0" w:line="240" w:lineRule="auto"/>
              <w:jc w:val="center"/>
              <w:rPr>
                <w:rFonts w:hint="eastAsia" w:ascii="宋体" w:hAnsi="宋体" w:eastAsia="宋体" w:cs="宋体"/>
                <w:color w:val="auto"/>
                <w:sz w:val="21"/>
                <w:szCs w:val="21"/>
                <w:highlight w:val="none"/>
              </w:rPr>
            </w:pPr>
          </w:p>
        </w:tc>
      </w:tr>
      <w:tr w14:paraId="6577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29CA072C">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56" w:type="dxa"/>
            <w:tcBorders>
              <w:top w:val="single" w:color="auto" w:sz="4" w:space="0"/>
              <w:left w:val="single" w:color="auto" w:sz="4" w:space="0"/>
              <w:bottom w:val="single" w:color="auto" w:sz="4" w:space="0"/>
              <w:right w:val="single" w:color="auto" w:sz="4" w:space="0"/>
            </w:tcBorders>
            <w:vAlign w:val="center"/>
          </w:tcPr>
          <w:p w14:paraId="6B28757A">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A220674">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3B4639B8">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17FE909B">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206E249F">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05E3A40E">
            <w:pPr>
              <w:adjustRightInd w:val="0"/>
              <w:spacing w:after="0" w:line="240" w:lineRule="auto"/>
              <w:jc w:val="center"/>
              <w:rPr>
                <w:rFonts w:hint="eastAsia" w:ascii="宋体" w:hAnsi="宋体" w:eastAsia="宋体" w:cs="宋体"/>
                <w:color w:val="auto"/>
                <w:sz w:val="21"/>
                <w:szCs w:val="21"/>
                <w:highlight w:val="none"/>
              </w:rPr>
            </w:pPr>
          </w:p>
        </w:tc>
      </w:tr>
      <w:tr w14:paraId="6FA7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Borders>
              <w:top w:val="single" w:color="auto" w:sz="4" w:space="0"/>
              <w:left w:val="single" w:color="auto" w:sz="4" w:space="0"/>
              <w:bottom w:val="single" w:color="auto" w:sz="4" w:space="0"/>
              <w:right w:val="single" w:color="auto" w:sz="4" w:space="0"/>
            </w:tcBorders>
            <w:vAlign w:val="center"/>
          </w:tcPr>
          <w:p w14:paraId="72A70BCD">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56" w:type="dxa"/>
            <w:tcBorders>
              <w:top w:val="single" w:color="auto" w:sz="4" w:space="0"/>
              <w:left w:val="single" w:color="auto" w:sz="4" w:space="0"/>
              <w:bottom w:val="single" w:color="auto" w:sz="4" w:space="0"/>
              <w:right w:val="single" w:color="auto" w:sz="4" w:space="0"/>
            </w:tcBorders>
            <w:vAlign w:val="center"/>
          </w:tcPr>
          <w:p w14:paraId="7E575828">
            <w:pPr>
              <w:adjustRightInd w:val="0"/>
              <w:spacing w:after="0" w:line="240" w:lineRule="auto"/>
              <w:jc w:val="center"/>
              <w:rPr>
                <w:rFonts w:hint="eastAsia" w:ascii="宋体" w:hAnsi="宋体" w:eastAsia="宋体" w:cs="宋体"/>
                <w:color w:val="auto"/>
                <w:sz w:val="21"/>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E528883">
            <w:pPr>
              <w:adjustRightInd w:val="0"/>
              <w:spacing w:after="0" w:line="240" w:lineRule="auto"/>
              <w:jc w:val="center"/>
              <w:rPr>
                <w:rFonts w:hint="eastAsia" w:ascii="宋体" w:hAnsi="宋体" w:eastAsia="宋体" w:cs="宋体"/>
                <w:color w:val="auto"/>
                <w:sz w:val="21"/>
                <w:szCs w:val="21"/>
                <w:highlight w:val="none"/>
              </w:rPr>
            </w:pPr>
          </w:p>
        </w:tc>
        <w:tc>
          <w:tcPr>
            <w:tcW w:w="1189" w:type="dxa"/>
            <w:tcBorders>
              <w:top w:val="single" w:color="auto" w:sz="4" w:space="0"/>
              <w:left w:val="single" w:color="auto" w:sz="4" w:space="0"/>
              <w:bottom w:val="single" w:color="auto" w:sz="4" w:space="0"/>
              <w:right w:val="single" w:color="auto" w:sz="4" w:space="0"/>
            </w:tcBorders>
            <w:vAlign w:val="center"/>
          </w:tcPr>
          <w:p w14:paraId="4848E60A">
            <w:pPr>
              <w:adjustRightInd w:val="0"/>
              <w:spacing w:after="0" w:line="240" w:lineRule="auto"/>
              <w:jc w:val="center"/>
              <w:rPr>
                <w:rFonts w:hint="eastAsia" w:ascii="宋体" w:hAnsi="宋体" w:eastAsia="宋体" w:cs="宋体"/>
                <w:color w:val="auto"/>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FB77C26">
            <w:pPr>
              <w:adjustRightInd w:val="0"/>
              <w:spacing w:after="0" w:line="240" w:lineRule="auto"/>
              <w:jc w:val="center"/>
              <w:rPr>
                <w:rFonts w:hint="eastAsia" w:ascii="宋体" w:hAnsi="宋体" w:eastAsia="宋体" w:cs="宋体"/>
                <w:color w:val="auto"/>
                <w:sz w:val="21"/>
                <w:szCs w:val="21"/>
                <w:highlight w:val="none"/>
              </w:rPr>
            </w:pPr>
          </w:p>
        </w:tc>
        <w:tc>
          <w:tcPr>
            <w:tcW w:w="1243" w:type="dxa"/>
            <w:tcBorders>
              <w:top w:val="single" w:color="auto" w:sz="4" w:space="0"/>
              <w:left w:val="single" w:color="auto" w:sz="4" w:space="0"/>
              <w:bottom w:val="single" w:color="auto" w:sz="4" w:space="0"/>
              <w:right w:val="single" w:color="auto" w:sz="4" w:space="0"/>
            </w:tcBorders>
            <w:vAlign w:val="center"/>
          </w:tcPr>
          <w:p w14:paraId="3C2FC247">
            <w:pPr>
              <w:adjustRightInd w:val="0"/>
              <w:spacing w:after="0" w:line="240" w:lineRule="auto"/>
              <w:jc w:val="center"/>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14:paraId="6A33BD76">
            <w:pPr>
              <w:adjustRightInd w:val="0"/>
              <w:spacing w:after="0" w:line="240" w:lineRule="auto"/>
              <w:jc w:val="center"/>
              <w:rPr>
                <w:rFonts w:hint="eastAsia" w:ascii="宋体" w:hAnsi="宋体" w:eastAsia="宋体" w:cs="宋体"/>
                <w:color w:val="auto"/>
                <w:sz w:val="21"/>
                <w:szCs w:val="21"/>
                <w:highlight w:val="none"/>
              </w:rPr>
            </w:pPr>
          </w:p>
        </w:tc>
      </w:tr>
      <w:tr w14:paraId="64D7E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0" w:type="dxa"/>
            <w:gridSpan w:val="7"/>
            <w:tcBorders>
              <w:top w:val="single" w:color="auto" w:sz="4" w:space="0"/>
              <w:left w:val="single" w:color="auto" w:sz="4" w:space="0"/>
              <w:bottom w:val="single" w:color="auto" w:sz="4" w:space="0"/>
              <w:right w:val="single" w:color="auto" w:sz="4" w:space="0"/>
            </w:tcBorders>
            <w:vAlign w:val="center"/>
          </w:tcPr>
          <w:p w14:paraId="585090A6">
            <w:pPr>
              <w:adjustRightInd w:val="0"/>
              <w:spacing w:after="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三、XX人员</w:t>
            </w:r>
          </w:p>
        </w:tc>
      </w:tr>
      <w:tr w14:paraId="6747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67EE1504">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56" w:type="dxa"/>
            <w:vAlign w:val="center"/>
          </w:tcPr>
          <w:p w14:paraId="762187D8">
            <w:pPr>
              <w:adjustRightInd w:val="0"/>
              <w:spacing w:after="0" w:line="240" w:lineRule="auto"/>
              <w:jc w:val="center"/>
              <w:rPr>
                <w:rFonts w:hint="eastAsia" w:ascii="宋体" w:hAnsi="宋体" w:eastAsia="宋体" w:cs="宋体"/>
                <w:color w:val="auto"/>
                <w:sz w:val="21"/>
                <w:szCs w:val="21"/>
                <w:highlight w:val="none"/>
              </w:rPr>
            </w:pPr>
          </w:p>
        </w:tc>
        <w:tc>
          <w:tcPr>
            <w:tcW w:w="1187" w:type="dxa"/>
            <w:vAlign w:val="center"/>
          </w:tcPr>
          <w:p w14:paraId="194A7218">
            <w:pPr>
              <w:adjustRightInd w:val="0"/>
              <w:spacing w:after="0" w:line="240" w:lineRule="auto"/>
              <w:jc w:val="center"/>
              <w:rPr>
                <w:rFonts w:hint="eastAsia" w:ascii="宋体" w:hAnsi="宋体" w:eastAsia="宋体" w:cs="宋体"/>
                <w:color w:val="auto"/>
                <w:sz w:val="21"/>
                <w:szCs w:val="21"/>
                <w:highlight w:val="none"/>
              </w:rPr>
            </w:pPr>
          </w:p>
        </w:tc>
        <w:tc>
          <w:tcPr>
            <w:tcW w:w="1189" w:type="dxa"/>
            <w:vAlign w:val="center"/>
          </w:tcPr>
          <w:p w14:paraId="38810C91">
            <w:pPr>
              <w:adjustRightInd w:val="0"/>
              <w:spacing w:after="0" w:line="240" w:lineRule="auto"/>
              <w:jc w:val="center"/>
              <w:rPr>
                <w:rFonts w:hint="eastAsia" w:ascii="宋体" w:hAnsi="宋体" w:eastAsia="宋体" w:cs="宋体"/>
                <w:color w:val="auto"/>
                <w:sz w:val="21"/>
                <w:szCs w:val="21"/>
                <w:highlight w:val="none"/>
              </w:rPr>
            </w:pPr>
          </w:p>
        </w:tc>
        <w:tc>
          <w:tcPr>
            <w:tcW w:w="1275" w:type="dxa"/>
            <w:vAlign w:val="center"/>
          </w:tcPr>
          <w:p w14:paraId="0C9737A0">
            <w:pPr>
              <w:adjustRightInd w:val="0"/>
              <w:spacing w:after="0" w:line="240" w:lineRule="auto"/>
              <w:jc w:val="center"/>
              <w:rPr>
                <w:rFonts w:hint="eastAsia" w:ascii="宋体" w:hAnsi="宋体" w:eastAsia="宋体" w:cs="宋体"/>
                <w:color w:val="auto"/>
                <w:sz w:val="21"/>
                <w:szCs w:val="21"/>
                <w:highlight w:val="none"/>
              </w:rPr>
            </w:pPr>
          </w:p>
        </w:tc>
        <w:tc>
          <w:tcPr>
            <w:tcW w:w="1243" w:type="dxa"/>
            <w:vAlign w:val="center"/>
          </w:tcPr>
          <w:p w14:paraId="695FA42E">
            <w:pPr>
              <w:adjustRightInd w:val="0"/>
              <w:spacing w:after="0" w:line="240" w:lineRule="auto"/>
              <w:jc w:val="center"/>
              <w:rPr>
                <w:rFonts w:hint="eastAsia" w:ascii="宋体" w:hAnsi="宋体" w:eastAsia="宋体" w:cs="宋体"/>
                <w:color w:val="auto"/>
                <w:sz w:val="21"/>
                <w:szCs w:val="21"/>
                <w:highlight w:val="none"/>
              </w:rPr>
            </w:pPr>
          </w:p>
        </w:tc>
        <w:tc>
          <w:tcPr>
            <w:tcW w:w="1916" w:type="dxa"/>
            <w:vAlign w:val="center"/>
          </w:tcPr>
          <w:p w14:paraId="27F0C3E3">
            <w:pPr>
              <w:adjustRightInd w:val="0"/>
              <w:spacing w:after="0" w:line="240" w:lineRule="auto"/>
              <w:jc w:val="center"/>
              <w:rPr>
                <w:rFonts w:hint="eastAsia" w:ascii="宋体" w:hAnsi="宋体" w:eastAsia="宋体" w:cs="宋体"/>
                <w:color w:val="auto"/>
                <w:sz w:val="21"/>
                <w:szCs w:val="21"/>
                <w:highlight w:val="none"/>
              </w:rPr>
            </w:pPr>
          </w:p>
        </w:tc>
      </w:tr>
      <w:tr w14:paraId="7906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302A1D8F">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56" w:type="dxa"/>
            <w:vAlign w:val="center"/>
          </w:tcPr>
          <w:p w14:paraId="0141C5C1">
            <w:pPr>
              <w:adjustRightInd w:val="0"/>
              <w:spacing w:after="0" w:line="240" w:lineRule="auto"/>
              <w:jc w:val="center"/>
              <w:rPr>
                <w:rFonts w:hint="eastAsia" w:ascii="宋体" w:hAnsi="宋体" w:eastAsia="宋体" w:cs="宋体"/>
                <w:color w:val="auto"/>
                <w:sz w:val="21"/>
                <w:szCs w:val="21"/>
                <w:highlight w:val="none"/>
              </w:rPr>
            </w:pPr>
          </w:p>
        </w:tc>
        <w:tc>
          <w:tcPr>
            <w:tcW w:w="1187" w:type="dxa"/>
            <w:vAlign w:val="center"/>
          </w:tcPr>
          <w:p w14:paraId="25CE341E">
            <w:pPr>
              <w:adjustRightInd w:val="0"/>
              <w:spacing w:after="0" w:line="240" w:lineRule="auto"/>
              <w:jc w:val="center"/>
              <w:rPr>
                <w:rFonts w:hint="eastAsia" w:ascii="宋体" w:hAnsi="宋体" w:eastAsia="宋体" w:cs="宋体"/>
                <w:color w:val="auto"/>
                <w:sz w:val="21"/>
                <w:szCs w:val="21"/>
                <w:highlight w:val="none"/>
              </w:rPr>
            </w:pPr>
          </w:p>
        </w:tc>
        <w:tc>
          <w:tcPr>
            <w:tcW w:w="1189" w:type="dxa"/>
            <w:vAlign w:val="center"/>
          </w:tcPr>
          <w:p w14:paraId="0B2439D1">
            <w:pPr>
              <w:adjustRightInd w:val="0"/>
              <w:spacing w:after="0" w:line="240" w:lineRule="auto"/>
              <w:jc w:val="center"/>
              <w:rPr>
                <w:rFonts w:hint="eastAsia" w:ascii="宋体" w:hAnsi="宋体" w:eastAsia="宋体" w:cs="宋体"/>
                <w:color w:val="auto"/>
                <w:sz w:val="21"/>
                <w:szCs w:val="21"/>
                <w:highlight w:val="none"/>
              </w:rPr>
            </w:pPr>
          </w:p>
        </w:tc>
        <w:tc>
          <w:tcPr>
            <w:tcW w:w="1275" w:type="dxa"/>
            <w:vAlign w:val="center"/>
          </w:tcPr>
          <w:p w14:paraId="0DAD2DA8">
            <w:pPr>
              <w:adjustRightInd w:val="0"/>
              <w:spacing w:after="0" w:line="240" w:lineRule="auto"/>
              <w:jc w:val="center"/>
              <w:rPr>
                <w:rFonts w:hint="eastAsia" w:ascii="宋体" w:hAnsi="宋体" w:eastAsia="宋体" w:cs="宋体"/>
                <w:color w:val="auto"/>
                <w:sz w:val="21"/>
                <w:szCs w:val="21"/>
                <w:highlight w:val="none"/>
              </w:rPr>
            </w:pPr>
          </w:p>
        </w:tc>
        <w:tc>
          <w:tcPr>
            <w:tcW w:w="1243" w:type="dxa"/>
            <w:vAlign w:val="center"/>
          </w:tcPr>
          <w:p w14:paraId="412B9970">
            <w:pPr>
              <w:adjustRightInd w:val="0"/>
              <w:spacing w:after="0" w:line="240" w:lineRule="auto"/>
              <w:jc w:val="center"/>
              <w:rPr>
                <w:rFonts w:hint="eastAsia" w:ascii="宋体" w:hAnsi="宋体" w:eastAsia="宋体" w:cs="宋体"/>
                <w:color w:val="auto"/>
                <w:sz w:val="21"/>
                <w:szCs w:val="21"/>
                <w:highlight w:val="none"/>
              </w:rPr>
            </w:pPr>
          </w:p>
        </w:tc>
        <w:tc>
          <w:tcPr>
            <w:tcW w:w="1916" w:type="dxa"/>
            <w:vAlign w:val="center"/>
          </w:tcPr>
          <w:p w14:paraId="55EC3F09">
            <w:pPr>
              <w:adjustRightInd w:val="0"/>
              <w:spacing w:after="0" w:line="240" w:lineRule="auto"/>
              <w:jc w:val="center"/>
              <w:rPr>
                <w:rFonts w:hint="eastAsia" w:ascii="宋体" w:hAnsi="宋体" w:eastAsia="宋体" w:cs="宋体"/>
                <w:color w:val="auto"/>
                <w:sz w:val="21"/>
                <w:szCs w:val="21"/>
                <w:highlight w:val="none"/>
              </w:rPr>
            </w:pPr>
          </w:p>
        </w:tc>
      </w:tr>
      <w:tr w14:paraId="5D7D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14:paraId="1D7E6864">
            <w:pPr>
              <w:adjustRightIn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56" w:type="dxa"/>
            <w:vAlign w:val="center"/>
          </w:tcPr>
          <w:p w14:paraId="6E4FE5DD">
            <w:pPr>
              <w:adjustRightInd w:val="0"/>
              <w:spacing w:after="0" w:line="240" w:lineRule="auto"/>
              <w:jc w:val="center"/>
              <w:rPr>
                <w:rFonts w:hint="eastAsia" w:ascii="宋体" w:hAnsi="宋体" w:eastAsia="宋体" w:cs="宋体"/>
                <w:color w:val="auto"/>
                <w:sz w:val="21"/>
                <w:szCs w:val="21"/>
                <w:highlight w:val="none"/>
              </w:rPr>
            </w:pPr>
          </w:p>
        </w:tc>
        <w:tc>
          <w:tcPr>
            <w:tcW w:w="1187" w:type="dxa"/>
            <w:vAlign w:val="center"/>
          </w:tcPr>
          <w:p w14:paraId="33A90418">
            <w:pPr>
              <w:adjustRightInd w:val="0"/>
              <w:spacing w:after="0" w:line="240" w:lineRule="auto"/>
              <w:jc w:val="center"/>
              <w:rPr>
                <w:rFonts w:hint="eastAsia" w:ascii="宋体" w:hAnsi="宋体" w:eastAsia="宋体" w:cs="宋体"/>
                <w:color w:val="auto"/>
                <w:sz w:val="21"/>
                <w:szCs w:val="21"/>
                <w:highlight w:val="none"/>
              </w:rPr>
            </w:pPr>
          </w:p>
        </w:tc>
        <w:tc>
          <w:tcPr>
            <w:tcW w:w="1189" w:type="dxa"/>
            <w:vAlign w:val="center"/>
          </w:tcPr>
          <w:p w14:paraId="70F1E5B6">
            <w:pPr>
              <w:adjustRightInd w:val="0"/>
              <w:spacing w:after="0" w:line="240" w:lineRule="auto"/>
              <w:jc w:val="center"/>
              <w:rPr>
                <w:rFonts w:hint="eastAsia" w:ascii="宋体" w:hAnsi="宋体" w:eastAsia="宋体" w:cs="宋体"/>
                <w:color w:val="auto"/>
                <w:sz w:val="21"/>
                <w:szCs w:val="21"/>
                <w:highlight w:val="none"/>
              </w:rPr>
            </w:pPr>
          </w:p>
        </w:tc>
        <w:tc>
          <w:tcPr>
            <w:tcW w:w="1275" w:type="dxa"/>
            <w:vAlign w:val="center"/>
          </w:tcPr>
          <w:p w14:paraId="0438D88F">
            <w:pPr>
              <w:adjustRightInd w:val="0"/>
              <w:spacing w:after="0" w:line="240" w:lineRule="auto"/>
              <w:jc w:val="center"/>
              <w:rPr>
                <w:rFonts w:hint="eastAsia" w:ascii="宋体" w:hAnsi="宋体" w:eastAsia="宋体" w:cs="宋体"/>
                <w:color w:val="auto"/>
                <w:sz w:val="21"/>
                <w:szCs w:val="21"/>
                <w:highlight w:val="none"/>
              </w:rPr>
            </w:pPr>
          </w:p>
        </w:tc>
        <w:tc>
          <w:tcPr>
            <w:tcW w:w="1243" w:type="dxa"/>
            <w:vAlign w:val="center"/>
          </w:tcPr>
          <w:p w14:paraId="5864B629">
            <w:pPr>
              <w:adjustRightInd w:val="0"/>
              <w:spacing w:after="0" w:line="240" w:lineRule="auto"/>
              <w:jc w:val="center"/>
              <w:rPr>
                <w:rFonts w:hint="eastAsia" w:ascii="宋体" w:hAnsi="宋体" w:eastAsia="宋体" w:cs="宋体"/>
                <w:color w:val="auto"/>
                <w:sz w:val="21"/>
                <w:szCs w:val="21"/>
                <w:highlight w:val="none"/>
              </w:rPr>
            </w:pPr>
          </w:p>
        </w:tc>
        <w:tc>
          <w:tcPr>
            <w:tcW w:w="1916" w:type="dxa"/>
            <w:vAlign w:val="center"/>
          </w:tcPr>
          <w:p w14:paraId="195692C8">
            <w:pPr>
              <w:adjustRightInd w:val="0"/>
              <w:spacing w:after="0" w:line="240" w:lineRule="auto"/>
              <w:jc w:val="center"/>
              <w:rPr>
                <w:rFonts w:hint="eastAsia" w:ascii="宋体" w:hAnsi="宋体" w:eastAsia="宋体" w:cs="宋体"/>
                <w:color w:val="auto"/>
                <w:sz w:val="21"/>
                <w:szCs w:val="21"/>
                <w:highlight w:val="none"/>
              </w:rPr>
            </w:pPr>
          </w:p>
        </w:tc>
      </w:tr>
    </w:tbl>
    <w:p w14:paraId="77FAC7E6">
      <w:pPr>
        <w:topLinePunct/>
        <w:autoSpaceDE w:val="0"/>
        <w:autoSpaceDN w:val="0"/>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w:t>
      </w:r>
    </w:p>
    <w:p w14:paraId="66A65D3A">
      <w:pPr>
        <w:topLinePunct/>
        <w:autoSpaceDE w:val="0"/>
        <w:autoSpaceDN w:val="0"/>
        <w:spacing w:after="0"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供应商须按照上述格式填写投入本项目所有人员的相关信息。</w:t>
      </w:r>
      <w:r>
        <w:rPr>
          <w:rFonts w:hint="eastAsia" w:ascii="宋体" w:hAnsi="宋体" w:eastAsia="宋体" w:cs="宋体"/>
          <w:color w:val="auto"/>
          <w:szCs w:val="21"/>
          <w:highlight w:val="none"/>
          <w:lang w:eastAsia="zh-CN"/>
        </w:rPr>
        <w:t>提供</w:t>
      </w:r>
      <w:r>
        <w:rPr>
          <w:rFonts w:hint="eastAsia" w:ascii="宋体" w:hAnsi="宋体" w:eastAsia="宋体" w:cs="宋体"/>
          <w:color w:val="auto"/>
          <w:szCs w:val="21"/>
          <w:highlight w:val="none"/>
          <w:lang w:eastAsia="zh-CN" w:bidi="ar"/>
        </w:rPr>
        <w:t>供应商与投入服务人员签署的劳动合同复印件</w:t>
      </w:r>
      <w:r>
        <w:rPr>
          <w:rFonts w:hint="eastAsia" w:ascii="宋体" w:hAnsi="宋体" w:eastAsia="宋体" w:cs="宋体"/>
          <w:color w:val="auto"/>
          <w:szCs w:val="21"/>
          <w:highlight w:val="none"/>
          <w:lang w:val="en-US" w:eastAsia="zh-CN" w:bidi="ar"/>
        </w:rPr>
        <w:t>（合同须体现相关工作内容，截止至本项目响应文件递交当天合同仍在有效期内）。</w:t>
      </w:r>
    </w:p>
    <w:p w14:paraId="47725503">
      <w:pPr>
        <w:topLinePunct/>
        <w:autoSpaceDE w:val="0"/>
        <w:autoSpaceDN w:val="0"/>
        <w:spacing w:line="460" w:lineRule="exact"/>
        <w:rPr>
          <w:rFonts w:hint="eastAsia" w:ascii="宋体" w:hAnsi="宋体" w:eastAsia="宋体" w:cs="宋体"/>
          <w:bCs/>
          <w:color w:val="auto"/>
          <w:w w:val="150"/>
          <w:sz w:val="24"/>
          <w:highlight w:val="none"/>
          <w:shd w:val="clear" w:color="auto" w:fill="FFFF00"/>
        </w:rPr>
      </w:pPr>
    </w:p>
    <w:p w14:paraId="2AC2EBDC">
      <w:pPr>
        <w:topLinePunct/>
        <w:autoSpaceDE w:val="0"/>
        <w:autoSpaceDN w:val="0"/>
        <w:spacing w:after="0" w:line="360" w:lineRule="auto"/>
        <w:ind w:firstLine="602" w:firstLineChars="200"/>
        <w:rPr>
          <w:rFonts w:hint="eastAsia" w:ascii="宋体" w:hAnsi="宋体" w:eastAsia="宋体" w:cs="宋体"/>
          <w:color w:val="auto"/>
          <w:szCs w:val="21"/>
          <w:highlight w:val="none"/>
        </w:rPr>
      </w:pPr>
      <w:r>
        <w:rPr>
          <w:rFonts w:hint="eastAsia" w:ascii="宋体" w:hAnsi="宋体" w:eastAsia="宋体" w:cs="宋体"/>
          <w:b/>
          <w:color w:val="auto"/>
          <w:sz w:val="30"/>
          <w:szCs w:val="30"/>
          <w:highlight w:val="none"/>
        </w:rPr>
        <w:br w:type="page"/>
      </w:r>
    </w:p>
    <w:p w14:paraId="69315C41">
      <w:pPr>
        <w:topLinePunct/>
        <w:autoSpaceDE w:val="0"/>
        <w:autoSpaceDN w:val="0"/>
        <w:jc w:val="center"/>
        <w:rPr>
          <w:rFonts w:hint="eastAsia" w:ascii="宋体" w:hAnsi="宋体" w:eastAsia="宋体" w:cs="宋体"/>
          <w:b w:val="0"/>
          <w:bCs/>
          <w:color w:val="auto"/>
          <w:sz w:val="32"/>
          <w:szCs w:val="32"/>
          <w:highlight w:val="none"/>
        </w:rPr>
      </w:pPr>
    </w:p>
    <w:p w14:paraId="4D5B4B4B">
      <w:pPr>
        <w:keepNext w:val="0"/>
        <w:keepLines w:val="0"/>
        <w:pageBreakBefore w:val="0"/>
        <w:widowControl w:val="0"/>
        <w:kinsoku/>
        <w:wordWrap/>
        <w:overflowPunct/>
        <w:topLinePunct/>
        <w:autoSpaceDE w:val="0"/>
        <w:autoSpaceDN w:val="0"/>
        <w:bidi w:val="0"/>
        <w:adjustRightInd/>
        <w:spacing w:line="360" w:lineRule="auto"/>
        <w:jc w:val="center"/>
        <w:textAlignment w:val="auto"/>
        <w:rPr>
          <w:rFonts w:hint="eastAsia" w:ascii="宋体" w:hAnsi="宋体" w:eastAsia="宋体" w:cs="宋体"/>
          <w:b w:val="0"/>
          <w:bCs/>
          <w:color w:val="auto"/>
          <w:sz w:val="32"/>
          <w:szCs w:val="32"/>
          <w:highlight w:val="none"/>
        </w:rPr>
      </w:pPr>
    </w:p>
    <w:p w14:paraId="5394712A">
      <w:pPr>
        <w:pStyle w:val="2"/>
        <w:rPr>
          <w:rFonts w:hint="eastAsia" w:ascii="宋体" w:hAnsi="宋体" w:eastAsia="宋体" w:cs="宋体"/>
          <w:color w:val="auto"/>
          <w:highlight w:val="none"/>
        </w:rPr>
      </w:pPr>
    </w:p>
    <w:p w14:paraId="381EFB90">
      <w:pPr>
        <w:keepNext w:val="0"/>
        <w:keepLines w:val="0"/>
        <w:pageBreakBefore w:val="0"/>
        <w:widowControl w:val="0"/>
        <w:kinsoku/>
        <w:wordWrap/>
        <w:overflowPunct/>
        <w:topLinePunct/>
        <w:autoSpaceDE w:val="0"/>
        <w:autoSpaceDN w:val="0"/>
        <w:bidi w:val="0"/>
        <w:adjustRightInd/>
        <w:spacing w:line="360" w:lineRule="auto"/>
        <w:jc w:val="center"/>
        <w:textAlignment w:val="auto"/>
        <w:rPr>
          <w:rFonts w:hint="eastAsia" w:ascii="宋体" w:hAnsi="宋体" w:eastAsia="宋体" w:cs="宋体"/>
          <w:b w:val="0"/>
          <w:bCs/>
          <w:color w:val="auto"/>
          <w:sz w:val="32"/>
          <w:szCs w:val="32"/>
          <w:highlight w:val="none"/>
        </w:rPr>
      </w:pPr>
    </w:p>
    <w:p w14:paraId="21302452">
      <w:pPr>
        <w:topLinePunct/>
        <w:autoSpaceDE w:val="0"/>
        <w:autoSpaceDN w:val="0"/>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sz w:val="48"/>
          <w:szCs w:val="48"/>
          <w:highlight w:val="none"/>
          <w:lang w:eastAsia="zh-CN"/>
        </w:rPr>
        <w:t>磋商</w:t>
      </w:r>
      <w:r>
        <w:rPr>
          <w:rFonts w:hint="eastAsia" w:ascii="宋体" w:hAnsi="宋体" w:eastAsia="宋体" w:cs="宋体"/>
          <w:b/>
          <w:bCs w:val="0"/>
          <w:color w:val="auto"/>
          <w:sz w:val="48"/>
          <w:szCs w:val="48"/>
          <w:highlight w:val="none"/>
        </w:rPr>
        <w:t>文件</w:t>
      </w:r>
    </w:p>
    <w:p w14:paraId="10AA60B5">
      <w:pPr>
        <w:topLinePunct/>
        <w:autoSpaceDE w:val="0"/>
        <w:autoSpaceDN w:val="0"/>
        <w:spacing w:line="60" w:lineRule="exact"/>
        <w:jc w:val="center"/>
        <w:rPr>
          <w:rFonts w:hint="eastAsia" w:ascii="宋体" w:hAnsi="宋体" w:eastAsia="宋体" w:cs="宋体"/>
          <w:b w:val="0"/>
          <w:bCs/>
          <w:color w:val="auto"/>
          <w:sz w:val="32"/>
          <w:szCs w:val="32"/>
          <w:highlight w:val="none"/>
        </w:rPr>
      </w:pPr>
    </w:p>
    <w:p w14:paraId="682B5A12">
      <w:pPr>
        <w:topLinePunct/>
        <w:autoSpaceDE w:val="0"/>
        <w:autoSpaceDN w:val="0"/>
        <w:snapToGrid w:val="0"/>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w:t>
      </w:r>
      <w:r>
        <w:rPr>
          <w:rFonts w:hint="eastAsia" w:ascii="宋体" w:hAnsi="宋体" w:eastAsia="宋体" w:cs="宋体"/>
          <w:b w:val="0"/>
          <w:bCs/>
          <w:color w:val="auto"/>
          <w:sz w:val="32"/>
          <w:szCs w:val="32"/>
          <w:highlight w:val="none"/>
          <w:lang w:eastAsia="zh-CN"/>
        </w:rPr>
        <w:t>技术</w:t>
      </w:r>
      <w:r>
        <w:rPr>
          <w:rFonts w:hint="eastAsia" w:ascii="宋体" w:hAnsi="宋体" w:eastAsia="宋体" w:cs="宋体"/>
          <w:b w:val="0"/>
          <w:bCs/>
          <w:color w:val="auto"/>
          <w:sz w:val="32"/>
          <w:szCs w:val="32"/>
          <w:highlight w:val="none"/>
        </w:rPr>
        <w:t>部分）</w:t>
      </w:r>
    </w:p>
    <w:p w14:paraId="6846EF31">
      <w:pPr>
        <w:bidi w:val="0"/>
        <w:rPr>
          <w:rFonts w:hint="eastAsia" w:ascii="宋体" w:hAnsi="宋体" w:eastAsia="宋体" w:cs="宋体"/>
          <w:color w:val="auto"/>
          <w:highlight w:val="none"/>
        </w:rPr>
      </w:pPr>
    </w:p>
    <w:p w14:paraId="063A52D7">
      <w:pPr>
        <w:bidi w:val="0"/>
        <w:rPr>
          <w:rFonts w:hint="eastAsia" w:ascii="宋体" w:hAnsi="宋体" w:eastAsia="宋体" w:cs="宋体"/>
          <w:color w:val="auto"/>
          <w:highlight w:val="none"/>
        </w:rPr>
      </w:pPr>
    </w:p>
    <w:p w14:paraId="498D1A18">
      <w:pPr>
        <w:pStyle w:val="2"/>
        <w:rPr>
          <w:rFonts w:hint="eastAsia" w:ascii="宋体" w:hAnsi="宋体" w:eastAsia="宋体" w:cs="宋体"/>
          <w:color w:val="auto"/>
          <w:highlight w:val="none"/>
        </w:rPr>
      </w:pPr>
    </w:p>
    <w:p w14:paraId="2BF7CDCA">
      <w:pPr>
        <w:rPr>
          <w:rFonts w:hint="eastAsia" w:ascii="宋体" w:hAnsi="宋体" w:eastAsia="宋体" w:cs="宋体"/>
          <w:color w:val="auto"/>
          <w:highlight w:val="none"/>
        </w:rPr>
      </w:pPr>
    </w:p>
    <w:p w14:paraId="16CC0940">
      <w:pPr>
        <w:pStyle w:val="2"/>
        <w:rPr>
          <w:rFonts w:hint="eastAsia" w:ascii="宋体" w:hAnsi="宋体" w:eastAsia="宋体" w:cs="宋体"/>
          <w:color w:val="auto"/>
          <w:highlight w:val="none"/>
        </w:rPr>
      </w:pPr>
    </w:p>
    <w:p w14:paraId="3F75C291">
      <w:pPr>
        <w:pStyle w:val="2"/>
        <w:rPr>
          <w:rFonts w:hint="eastAsia" w:ascii="宋体" w:hAnsi="宋体" w:eastAsia="宋体" w:cs="宋体"/>
          <w:color w:val="auto"/>
          <w:highlight w:val="none"/>
        </w:rPr>
      </w:pPr>
    </w:p>
    <w:p w14:paraId="113C1BDB">
      <w:pPr>
        <w:rPr>
          <w:rFonts w:hint="eastAsia" w:ascii="宋体" w:hAnsi="宋体" w:eastAsia="宋体" w:cs="宋体"/>
          <w:color w:val="auto"/>
          <w:highlight w:val="none"/>
        </w:rPr>
      </w:pPr>
    </w:p>
    <w:p w14:paraId="3115C622">
      <w:pPr>
        <w:pStyle w:val="2"/>
        <w:rPr>
          <w:rFonts w:hint="eastAsia" w:ascii="宋体" w:hAnsi="宋体" w:eastAsia="宋体" w:cs="宋体"/>
          <w:color w:val="auto"/>
          <w:highlight w:val="none"/>
        </w:rPr>
      </w:pPr>
    </w:p>
    <w:p w14:paraId="08185A7A">
      <w:pPr>
        <w:ind w:left="0" w:leftChars="0" w:firstLine="180" w:firstLineChars="56"/>
        <w:jc w:val="both"/>
        <w:rPr>
          <w:rFonts w:hint="eastAsia" w:ascii="宋体" w:hAnsi="宋体" w:eastAsia="宋体" w:cs="宋体"/>
          <w:b/>
          <w:bCs/>
          <w:color w:val="auto"/>
          <w:sz w:val="32"/>
          <w:szCs w:val="32"/>
          <w:highlight w:val="none"/>
        </w:rPr>
      </w:pPr>
    </w:p>
    <w:p w14:paraId="23C85090">
      <w:pPr>
        <w:spacing w:line="360" w:lineRule="auto"/>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lang w:eastAsia="zh-CN"/>
        </w:rPr>
        <w:t>国家税务总局钦州市钦南区税务局食堂食材配送项目</w:t>
      </w:r>
    </w:p>
    <w:p w14:paraId="6F9170C3">
      <w:pPr>
        <w:spacing w:line="360" w:lineRule="auto"/>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lang w:eastAsia="zh-CN"/>
        </w:rPr>
        <w:t>ZB2024-413</w:t>
      </w:r>
    </w:p>
    <w:p w14:paraId="40D6CCA7">
      <w:pPr>
        <w:spacing w:line="360" w:lineRule="auto"/>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采 购 人：</w:t>
      </w:r>
      <w:r>
        <w:rPr>
          <w:rFonts w:hint="eastAsia" w:ascii="宋体" w:hAnsi="宋体" w:eastAsia="宋体" w:cs="宋体"/>
          <w:b/>
          <w:bCs/>
          <w:color w:val="auto"/>
          <w:sz w:val="32"/>
          <w:szCs w:val="32"/>
          <w:highlight w:val="none"/>
          <w:lang w:eastAsia="zh-CN"/>
        </w:rPr>
        <w:t>国家税务总局钦州市钦南区税务局</w:t>
      </w:r>
    </w:p>
    <w:p w14:paraId="0AD1FA59">
      <w:pPr>
        <w:spacing w:line="360" w:lineRule="auto"/>
        <w:ind w:left="0" w:leftChars="0" w:firstLine="138" w:firstLineChars="43"/>
        <w:jc w:val="both"/>
        <w:rPr>
          <w:rFonts w:hint="eastAsia" w:ascii="宋体" w:hAnsi="宋体" w:eastAsia="宋体" w:cs="宋体"/>
          <w:b/>
          <w:bCs/>
          <w:color w:val="auto"/>
          <w:sz w:val="32"/>
          <w:szCs w:val="32"/>
          <w:highlight w:val="none"/>
          <w:u w:val="none"/>
        </w:rPr>
      </w:pPr>
      <w:r>
        <w:rPr>
          <w:rFonts w:hint="eastAsia" w:ascii="宋体" w:hAnsi="宋体" w:eastAsia="宋体" w:cs="宋体"/>
          <w:b/>
          <w:bCs/>
          <w:color w:val="auto"/>
          <w:sz w:val="32"/>
          <w:szCs w:val="32"/>
          <w:highlight w:val="none"/>
        </w:rPr>
        <w:t>采购代理机构：广西众联工程项目管理有限公司</w:t>
      </w:r>
    </w:p>
    <w:p w14:paraId="71CAF267">
      <w:pPr>
        <w:topLinePunct/>
        <w:autoSpaceDE w:val="0"/>
        <w:autoSpaceDN w:val="0"/>
        <w:spacing w:line="360" w:lineRule="auto"/>
        <w:rPr>
          <w:rFonts w:hint="eastAsia" w:ascii="宋体" w:hAnsi="宋体" w:eastAsia="宋体" w:cs="宋体"/>
          <w:b/>
          <w:color w:val="auto"/>
          <w:sz w:val="32"/>
          <w:szCs w:val="32"/>
          <w:highlight w:val="none"/>
        </w:rPr>
      </w:pPr>
    </w:p>
    <w:p w14:paraId="785F9EF3">
      <w:pPr>
        <w:topLinePunct/>
        <w:autoSpaceDE w:val="0"/>
        <w:autoSpaceDN w:val="0"/>
        <w:spacing w:line="460" w:lineRule="exact"/>
        <w:jc w:val="center"/>
        <w:rPr>
          <w:rFonts w:hint="eastAsia" w:ascii="宋体" w:hAnsi="宋体" w:eastAsia="宋体" w:cs="宋体"/>
          <w:color w:val="auto"/>
          <w:sz w:val="32"/>
          <w:szCs w:val="32"/>
          <w:highlight w:val="none"/>
        </w:rPr>
      </w:pPr>
    </w:p>
    <w:p w14:paraId="33FE7621">
      <w:pPr>
        <w:pStyle w:val="6"/>
        <w:numPr>
          <w:ilvl w:val="0"/>
          <w:numId w:val="0"/>
        </w:numPr>
        <w:ind w:leftChars="200"/>
        <w:rPr>
          <w:rFonts w:hint="eastAsia" w:ascii="宋体" w:hAnsi="宋体" w:eastAsia="宋体" w:cs="宋体"/>
          <w:color w:val="auto"/>
          <w:sz w:val="32"/>
          <w:szCs w:val="32"/>
          <w:highlight w:val="none"/>
        </w:rPr>
      </w:pPr>
    </w:p>
    <w:p w14:paraId="3F95221F">
      <w:pPr>
        <w:pStyle w:val="8"/>
        <w:rPr>
          <w:rFonts w:hint="eastAsia" w:ascii="宋体" w:hAnsi="宋体" w:eastAsia="宋体" w:cs="宋体"/>
          <w:color w:val="auto"/>
          <w:highlight w:val="none"/>
        </w:rPr>
      </w:pPr>
    </w:p>
    <w:p w14:paraId="4AC5A44C">
      <w:pPr>
        <w:topLinePunct/>
        <w:autoSpaceDE w:val="0"/>
        <w:autoSpaceDN w:val="0"/>
        <w:spacing w:line="46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国家税务总局钦州市钦南区税务局</w:t>
      </w:r>
    </w:p>
    <w:p w14:paraId="61A291F9">
      <w:pPr>
        <w:topLinePunct/>
        <w:autoSpaceDE w:val="0"/>
        <w:autoSpaceDN w:val="0"/>
        <w:spacing w:line="160" w:lineRule="exact"/>
        <w:jc w:val="center"/>
        <w:rPr>
          <w:rFonts w:hint="eastAsia" w:ascii="宋体" w:hAnsi="宋体" w:eastAsia="宋体" w:cs="宋体"/>
          <w:b/>
          <w:bCs/>
          <w:color w:val="auto"/>
          <w:sz w:val="32"/>
          <w:szCs w:val="32"/>
          <w:highlight w:val="none"/>
        </w:rPr>
      </w:pPr>
    </w:p>
    <w:p w14:paraId="298E0628">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09</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日</w:t>
      </w:r>
    </w:p>
    <w:p w14:paraId="5AC5B58A">
      <w:pPr>
        <w:widowControl/>
        <w:spacing w:after="0" w:line="24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36"/>
          <w:szCs w:val="36"/>
          <w:highlight w:val="none"/>
        </w:rPr>
        <w:br w:type="page"/>
      </w:r>
      <w:r>
        <w:rPr>
          <w:rStyle w:val="28"/>
          <w:rFonts w:hint="eastAsia" w:ascii="宋体" w:hAnsi="宋体" w:eastAsia="宋体" w:cs="宋体"/>
          <w:color w:val="auto"/>
          <w:sz w:val="30"/>
          <w:szCs w:val="30"/>
          <w:highlight w:val="none"/>
        </w:rPr>
        <w:t>第六章  项目采购需求</w:t>
      </w:r>
    </w:p>
    <w:p w14:paraId="0E2A9A65">
      <w:pPr>
        <w:pStyle w:val="4"/>
        <w:bidi w:val="0"/>
        <w:ind w:firstLine="482" w:firstLineChars="200"/>
        <w:rPr>
          <w:rFonts w:hint="eastAsia" w:ascii="宋体" w:hAnsi="宋体" w:eastAsia="宋体" w:cs="宋体"/>
          <w:color w:val="auto"/>
          <w:sz w:val="24"/>
          <w:szCs w:val="24"/>
          <w:highlight w:val="none"/>
        </w:rPr>
      </w:pPr>
      <w:bookmarkStart w:id="44" w:name="_Toc16146"/>
      <w:r>
        <w:rPr>
          <w:rFonts w:hint="eastAsia" w:ascii="宋体" w:hAnsi="宋体" w:eastAsia="宋体" w:cs="宋体"/>
          <w:color w:val="auto"/>
          <w:sz w:val="24"/>
          <w:szCs w:val="24"/>
          <w:highlight w:val="none"/>
        </w:rPr>
        <w:t>一、项目概况</w:t>
      </w:r>
      <w:bookmarkEnd w:id="44"/>
    </w:p>
    <w:tbl>
      <w:tblPr>
        <w:tblStyle w:val="16"/>
        <w:tblW w:w="8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2928"/>
        <w:gridCol w:w="2858"/>
        <w:gridCol w:w="1616"/>
      </w:tblGrid>
      <w:tr w14:paraId="4C5A2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8" w:type="dxa"/>
            <w:vAlign w:val="center"/>
          </w:tcPr>
          <w:p w14:paraId="4724CD32">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采购包</w:t>
            </w:r>
          </w:p>
        </w:tc>
        <w:tc>
          <w:tcPr>
            <w:tcW w:w="2928" w:type="dxa"/>
            <w:vAlign w:val="center"/>
          </w:tcPr>
          <w:p w14:paraId="7AABE65E">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w:t>
            </w:r>
          </w:p>
        </w:tc>
        <w:tc>
          <w:tcPr>
            <w:tcW w:w="2858" w:type="dxa"/>
            <w:vAlign w:val="center"/>
          </w:tcPr>
          <w:p w14:paraId="3BF98E90">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w:t>
            </w:r>
          </w:p>
        </w:tc>
        <w:tc>
          <w:tcPr>
            <w:tcW w:w="1616" w:type="dxa"/>
            <w:vAlign w:val="top"/>
          </w:tcPr>
          <w:p w14:paraId="649CE8FC">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采购标的对应的中小企业划分标准所属行业</w:t>
            </w:r>
          </w:p>
        </w:tc>
      </w:tr>
      <w:tr w14:paraId="51E07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18" w:type="dxa"/>
            <w:vAlign w:val="center"/>
          </w:tcPr>
          <w:p w14:paraId="44B1629D">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8" w:type="dxa"/>
            <w:vAlign w:val="center"/>
          </w:tcPr>
          <w:p w14:paraId="5EC83A8D">
            <w:pPr>
              <w:spacing w:after="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国家税务总局钦州市钦南区税务局食堂食材配送项目</w:t>
            </w:r>
          </w:p>
        </w:tc>
        <w:tc>
          <w:tcPr>
            <w:tcW w:w="2858" w:type="dxa"/>
            <w:vAlign w:val="center"/>
          </w:tcPr>
          <w:p w14:paraId="743E7426">
            <w:pPr>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lang w:eastAsia="zh-CN"/>
              </w:rPr>
              <w:t>陆拾万元整（¥600000.00）</w:t>
            </w:r>
          </w:p>
        </w:tc>
        <w:tc>
          <w:tcPr>
            <w:tcW w:w="1616" w:type="dxa"/>
            <w:vAlign w:val="center"/>
          </w:tcPr>
          <w:p w14:paraId="478E3A21">
            <w:pPr>
              <w:spacing w:after="0"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批发业</w:t>
            </w:r>
          </w:p>
        </w:tc>
      </w:tr>
    </w:tbl>
    <w:p w14:paraId="48476547">
      <w:pPr>
        <w:pStyle w:val="4"/>
        <w:bidi w:val="0"/>
        <w:ind w:firstLine="482" w:firstLineChars="200"/>
        <w:rPr>
          <w:rFonts w:hint="eastAsia" w:ascii="宋体" w:hAnsi="宋体" w:eastAsia="宋体" w:cs="宋体"/>
          <w:color w:val="auto"/>
          <w:highlight w:val="none"/>
        </w:rPr>
      </w:pPr>
      <w:bookmarkStart w:id="45" w:name="_Toc11943"/>
      <w:r>
        <w:rPr>
          <w:rFonts w:hint="eastAsia" w:ascii="宋体" w:hAnsi="宋体" w:eastAsia="宋体" w:cs="宋体"/>
          <w:color w:val="auto"/>
          <w:sz w:val="24"/>
          <w:szCs w:val="24"/>
          <w:highlight w:val="none"/>
        </w:rPr>
        <w:t>二、技术要求</w:t>
      </w:r>
      <w:bookmarkEnd w:id="45"/>
    </w:p>
    <w:p w14:paraId="756066CA">
      <w:pPr>
        <w:keepNext w:val="0"/>
        <w:keepLines w:val="0"/>
        <w:pageBreakBefore w:val="0"/>
        <w:kinsoku/>
        <w:wordWrap/>
        <w:topLinePunct w:val="0"/>
        <w:bidi w:val="0"/>
        <w:adjustRightInd w:val="0"/>
        <w:snapToGrid w:val="0"/>
        <w:spacing w:beforeLines="0" w:afterLines="0" w:line="440" w:lineRule="exact"/>
        <w:ind w:firstLine="210" w:firstLineChars="10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kern w:val="2"/>
          <w:sz w:val="21"/>
          <w:szCs w:val="21"/>
          <w:highlight w:val="none"/>
          <w:lang w:val="en-US" w:eastAsia="zh-CN" w:bidi="ar-SA"/>
        </w:rPr>
        <w:t>（一）项目总体需求</w:t>
      </w:r>
    </w:p>
    <w:p w14:paraId="7E77D53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严格遵守《中华人民共和国食品安全法》、《中华人民共和国产品质量法》等相关规定，严格按照国家</w:t>
      </w:r>
      <w:r>
        <w:rPr>
          <w:rFonts w:hint="eastAsia" w:ascii="宋体" w:hAnsi="宋体" w:eastAsia="宋体" w:cs="宋体"/>
          <w:color w:val="auto"/>
          <w:sz w:val="21"/>
          <w:szCs w:val="21"/>
          <w:highlight w:val="none"/>
          <w:lang w:val="en-US" w:eastAsia="zh-CN"/>
        </w:rPr>
        <w:t>食品安全</w:t>
      </w:r>
      <w:r>
        <w:rPr>
          <w:rFonts w:hint="eastAsia" w:ascii="宋体" w:hAnsi="宋体" w:eastAsia="宋体" w:cs="宋体"/>
          <w:color w:val="auto"/>
          <w:sz w:val="21"/>
          <w:szCs w:val="21"/>
          <w:highlight w:val="none"/>
        </w:rPr>
        <w:t>卫生标准执行各项操作。</w:t>
      </w:r>
    </w:p>
    <w:p w14:paraId="1DB0ECE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有固定经营场所，具有食品经营、加工、储存、配送、检测场所，有较强的供货能力、良好的企业信誉和售后服务能力，有专门的储藏设备、配送设备、检测场所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检测设备</w:t>
      </w:r>
      <w:r>
        <w:rPr>
          <w:rFonts w:hint="eastAsia" w:ascii="宋体" w:hAnsi="宋体" w:eastAsia="宋体" w:cs="宋体"/>
          <w:color w:val="auto"/>
          <w:sz w:val="21"/>
          <w:szCs w:val="21"/>
          <w:highlight w:val="none"/>
        </w:rPr>
        <w:t>和检</w:t>
      </w:r>
      <w:r>
        <w:rPr>
          <w:rFonts w:hint="eastAsia" w:ascii="宋体" w:hAnsi="宋体" w:eastAsia="宋体" w:cs="宋体"/>
          <w:color w:val="auto"/>
          <w:sz w:val="21"/>
          <w:szCs w:val="21"/>
          <w:highlight w:val="none"/>
          <w:lang w:val="en-US" w:eastAsia="zh-CN"/>
        </w:rPr>
        <w:t>测</w:t>
      </w:r>
      <w:r>
        <w:rPr>
          <w:rFonts w:hint="eastAsia" w:ascii="宋体" w:hAnsi="宋体" w:eastAsia="宋体" w:cs="宋体"/>
          <w:color w:val="auto"/>
          <w:sz w:val="21"/>
          <w:szCs w:val="21"/>
          <w:highlight w:val="none"/>
        </w:rPr>
        <w:t>流程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能够安全有效</w:t>
      </w: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rPr>
        <w:t>完成食品材料的</w:t>
      </w:r>
      <w:r>
        <w:rPr>
          <w:rFonts w:hint="eastAsia" w:ascii="宋体" w:hAnsi="宋体" w:eastAsia="宋体" w:cs="宋体"/>
          <w:color w:val="auto"/>
          <w:sz w:val="21"/>
          <w:szCs w:val="21"/>
          <w:highlight w:val="none"/>
          <w:lang w:val="en-US" w:eastAsia="zh-CN"/>
        </w:rPr>
        <w:t>采买及配送</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w:t>
      </w:r>
    </w:p>
    <w:p w14:paraId="0FB1D5E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3、供应商生产或销售的配送物资必须符合国家有关规定并办理相关证照，生产或销售的猪、牛肉或其他食品必须达到国家有关质量标准或要求</w:t>
      </w:r>
      <w:r>
        <w:rPr>
          <w:rFonts w:hint="eastAsia" w:ascii="宋体" w:hAnsi="宋体" w:eastAsia="宋体" w:cs="宋体"/>
          <w:color w:val="auto"/>
          <w:sz w:val="21"/>
          <w:szCs w:val="21"/>
          <w:highlight w:val="none"/>
          <w:lang w:eastAsia="zh-CN"/>
        </w:rPr>
        <w:t>。</w:t>
      </w:r>
    </w:p>
    <w:p w14:paraId="1AF0BD2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坚决保障食</w:t>
      </w:r>
      <w:r>
        <w:rPr>
          <w:rFonts w:hint="eastAsia" w:ascii="宋体" w:hAnsi="宋体" w:eastAsia="宋体" w:cs="宋体"/>
          <w:color w:val="auto"/>
          <w:sz w:val="21"/>
          <w:szCs w:val="21"/>
          <w:highlight w:val="none"/>
          <w:lang w:eastAsia="zh-CN"/>
        </w:rPr>
        <w:t>材</w:t>
      </w:r>
      <w:r>
        <w:rPr>
          <w:rFonts w:hint="eastAsia" w:ascii="宋体" w:hAnsi="宋体" w:eastAsia="宋体" w:cs="宋体"/>
          <w:color w:val="auto"/>
          <w:sz w:val="21"/>
          <w:szCs w:val="21"/>
          <w:highlight w:val="none"/>
        </w:rPr>
        <w:t>质量，坚决不提供不符合国家食品安全标准要求的各类</w:t>
      </w:r>
      <w:r>
        <w:rPr>
          <w:rFonts w:hint="eastAsia" w:ascii="宋体" w:hAnsi="宋体" w:eastAsia="宋体" w:cs="宋体"/>
          <w:color w:val="auto"/>
          <w:sz w:val="21"/>
          <w:szCs w:val="21"/>
          <w:highlight w:val="none"/>
          <w:lang w:eastAsia="zh-CN"/>
        </w:rPr>
        <w:t>食材</w:t>
      </w:r>
      <w:r>
        <w:rPr>
          <w:rFonts w:hint="eastAsia" w:ascii="宋体" w:hAnsi="宋体" w:eastAsia="宋体" w:cs="宋体"/>
          <w:color w:val="auto"/>
          <w:sz w:val="21"/>
          <w:szCs w:val="21"/>
          <w:highlight w:val="none"/>
        </w:rPr>
        <w:t>，不在食</w:t>
      </w:r>
      <w:r>
        <w:rPr>
          <w:rFonts w:hint="eastAsia" w:ascii="宋体" w:hAnsi="宋体" w:eastAsia="宋体" w:cs="宋体"/>
          <w:color w:val="auto"/>
          <w:sz w:val="21"/>
          <w:szCs w:val="21"/>
          <w:highlight w:val="none"/>
          <w:lang w:eastAsia="zh-CN"/>
        </w:rPr>
        <w:t>材</w:t>
      </w:r>
      <w:r>
        <w:rPr>
          <w:rFonts w:hint="eastAsia" w:ascii="宋体" w:hAnsi="宋体" w:eastAsia="宋体" w:cs="宋体"/>
          <w:color w:val="auto"/>
          <w:sz w:val="21"/>
          <w:szCs w:val="21"/>
          <w:highlight w:val="none"/>
        </w:rPr>
        <w:t>中掺杂、掺假、以次充好、以不合格品冒充合格品。</w:t>
      </w:r>
    </w:p>
    <w:p w14:paraId="312FA54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保持</w:t>
      </w:r>
      <w:r>
        <w:rPr>
          <w:rFonts w:hint="eastAsia" w:ascii="宋体" w:hAnsi="宋体" w:eastAsia="宋体" w:cs="宋体"/>
          <w:color w:val="auto"/>
          <w:sz w:val="21"/>
          <w:szCs w:val="21"/>
          <w:highlight w:val="none"/>
          <w:lang w:eastAsia="zh-CN"/>
        </w:rPr>
        <w:t>食材</w:t>
      </w:r>
      <w:r>
        <w:rPr>
          <w:rFonts w:hint="eastAsia" w:ascii="宋体" w:hAnsi="宋体" w:eastAsia="宋体" w:cs="宋体"/>
          <w:color w:val="auto"/>
          <w:sz w:val="21"/>
          <w:szCs w:val="21"/>
          <w:highlight w:val="none"/>
        </w:rPr>
        <w:t>配送质量的稳定性，</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应设立专门的品</w:t>
      </w:r>
      <w:r>
        <w:rPr>
          <w:rFonts w:hint="eastAsia" w:ascii="宋体" w:hAnsi="宋体" w:eastAsia="宋体" w:cs="宋体"/>
          <w:color w:val="auto"/>
          <w:sz w:val="21"/>
          <w:szCs w:val="21"/>
          <w:highlight w:val="none"/>
          <w:lang w:eastAsia="zh-CN"/>
        </w:rPr>
        <w:t>质</w:t>
      </w:r>
      <w:r>
        <w:rPr>
          <w:rFonts w:hint="eastAsia" w:ascii="宋体" w:hAnsi="宋体" w:eastAsia="宋体" w:cs="宋体"/>
          <w:color w:val="auto"/>
          <w:sz w:val="21"/>
          <w:szCs w:val="21"/>
          <w:highlight w:val="none"/>
        </w:rPr>
        <w:t>管</w:t>
      </w:r>
      <w:r>
        <w:rPr>
          <w:rFonts w:hint="eastAsia" w:ascii="宋体" w:hAnsi="宋体" w:eastAsia="宋体" w:cs="宋体"/>
          <w:color w:val="auto"/>
          <w:sz w:val="21"/>
          <w:szCs w:val="21"/>
          <w:highlight w:val="none"/>
          <w:lang w:eastAsia="zh-CN"/>
        </w:rPr>
        <w:t>理</w:t>
      </w:r>
      <w:r>
        <w:rPr>
          <w:rFonts w:hint="eastAsia" w:ascii="宋体" w:hAnsi="宋体" w:eastAsia="宋体" w:cs="宋体"/>
          <w:color w:val="auto"/>
          <w:sz w:val="21"/>
          <w:szCs w:val="21"/>
          <w:highlight w:val="none"/>
        </w:rPr>
        <w:t>人员对</w:t>
      </w:r>
      <w:r>
        <w:rPr>
          <w:rFonts w:hint="eastAsia" w:ascii="宋体" w:hAnsi="宋体" w:eastAsia="宋体" w:cs="宋体"/>
          <w:color w:val="auto"/>
          <w:sz w:val="21"/>
          <w:szCs w:val="21"/>
          <w:highlight w:val="none"/>
          <w:lang w:eastAsia="zh-CN"/>
        </w:rPr>
        <w:t>食材</w:t>
      </w:r>
      <w:r>
        <w:rPr>
          <w:rFonts w:hint="eastAsia" w:ascii="宋体" w:hAnsi="宋体" w:eastAsia="宋体" w:cs="宋体"/>
          <w:color w:val="auto"/>
          <w:sz w:val="21"/>
          <w:szCs w:val="21"/>
          <w:highlight w:val="none"/>
        </w:rPr>
        <w:t>出货品质进行管控把关，按照相关的品质标准对出货进行</w:t>
      </w:r>
      <w:r>
        <w:rPr>
          <w:rFonts w:hint="eastAsia" w:ascii="宋体" w:hAnsi="宋体" w:eastAsia="宋体" w:cs="宋体"/>
          <w:color w:val="auto"/>
          <w:sz w:val="21"/>
          <w:szCs w:val="21"/>
          <w:highlight w:val="none"/>
          <w:lang w:eastAsia="zh-CN"/>
        </w:rPr>
        <w:t>食材</w:t>
      </w:r>
      <w:r>
        <w:rPr>
          <w:rFonts w:hint="eastAsia" w:ascii="宋体" w:hAnsi="宋体" w:eastAsia="宋体" w:cs="宋体"/>
          <w:color w:val="auto"/>
          <w:sz w:val="21"/>
          <w:szCs w:val="21"/>
          <w:highlight w:val="none"/>
        </w:rPr>
        <w:t>抽检并做好记录。保证配送品种斤两的准确性，以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的验货数量为准，</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每次随货带上“采购验收清单”，经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验货后签字确认，并作</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送收货及结算的凭证。</w:t>
      </w:r>
    </w:p>
    <w:p w14:paraId="0BA74BF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加强对配送人员的健康管理，配送人员保持良好的个人卫生，穿戴清洁的工作衣帽，不留长指甲，不涂指甲油，保持手部清洁，</w:t>
      </w:r>
      <w:r>
        <w:rPr>
          <w:rFonts w:hint="eastAsia" w:ascii="宋体" w:hAnsi="宋体" w:eastAsia="宋体" w:cs="宋体"/>
          <w:color w:val="auto"/>
          <w:sz w:val="21"/>
          <w:szCs w:val="21"/>
          <w:highlight w:val="none"/>
          <w:lang w:eastAsia="zh-CN"/>
        </w:rPr>
        <w:t>体检合格，无传染或不适合配送的相关疾病，并持有健康证件</w:t>
      </w:r>
      <w:r>
        <w:rPr>
          <w:rFonts w:hint="eastAsia" w:ascii="宋体" w:hAnsi="宋体" w:eastAsia="宋体" w:cs="宋体"/>
          <w:color w:val="auto"/>
          <w:sz w:val="21"/>
          <w:szCs w:val="21"/>
          <w:highlight w:val="none"/>
        </w:rPr>
        <w:t>。</w:t>
      </w:r>
    </w:p>
    <w:p w14:paraId="6FA7017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严格履行合</w:t>
      </w:r>
      <w:r>
        <w:rPr>
          <w:rFonts w:hint="eastAsia" w:ascii="宋体" w:hAnsi="宋体" w:eastAsia="宋体" w:cs="宋体"/>
          <w:color w:val="auto"/>
          <w:sz w:val="21"/>
          <w:szCs w:val="21"/>
          <w:highlight w:val="none"/>
          <w:lang w:val="en-US" w:eastAsia="zh-CN"/>
        </w:rPr>
        <w:t>同</w:t>
      </w:r>
      <w:r>
        <w:rPr>
          <w:rFonts w:hint="eastAsia" w:ascii="宋体" w:hAnsi="宋体" w:eastAsia="宋体" w:cs="宋体"/>
          <w:color w:val="auto"/>
          <w:sz w:val="21"/>
          <w:szCs w:val="21"/>
          <w:highlight w:val="none"/>
        </w:rPr>
        <w:t>条款，保证</w:t>
      </w:r>
      <w:r>
        <w:rPr>
          <w:rFonts w:hint="eastAsia" w:ascii="宋体" w:hAnsi="宋体" w:eastAsia="宋体" w:cs="宋体"/>
          <w:color w:val="auto"/>
          <w:sz w:val="21"/>
          <w:szCs w:val="21"/>
          <w:highlight w:val="none"/>
          <w:lang w:val="en-US" w:eastAsia="zh-CN"/>
        </w:rPr>
        <w:t>食材的</w:t>
      </w:r>
      <w:r>
        <w:rPr>
          <w:rFonts w:hint="eastAsia" w:ascii="宋体" w:hAnsi="宋体" w:eastAsia="宋体" w:cs="宋体"/>
          <w:color w:val="auto"/>
          <w:sz w:val="21"/>
          <w:szCs w:val="21"/>
          <w:highlight w:val="none"/>
        </w:rPr>
        <w:t>份量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质量，用心服务。</w:t>
      </w:r>
    </w:p>
    <w:p w14:paraId="2E00BAF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8、应建立完善的食品安全事故、临时配送任务应急方案，配置相应的应急装备、应急物资储备和应急人员，加强应急培训、演练。</w:t>
      </w:r>
    </w:p>
    <w:p w14:paraId="44039E79">
      <w:pPr>
        <w:pStyle w:val="2"/>
        <w:keepNext w:val="0"/>
        <w:keepLines w:val="0"/>
        <w:pageBreakBefore w:val="0"/>
        <w:kinsoku/>
        <w:wordWrap/>
        <w:topLinePunct w:val="0"/>
        <w:bidi w:val="0"/>
        <w:spacing w:line="44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lang w:val="en-US" w:eastAsia="zh-CN"/>
        </w:rPr>
        <w:t>食材质量安全</w:t>
      </w:r>
      <w:r>
        <w:rPr>
          <w:rFonts w:hint="eastAsia" w:ascii="宋体" w:hAnsi="宋体" w:eastAsia="宋体" w:cs="宋体"/>
          <w:color w:val="auto"/>
          <w:sz w:val="21"/>
          <w:szCs w:val="21"/>
          <w:highlight w:val="none"/>
          <w:lang w:eastAsia="zh-CN"/>
        </w:rPr>
        <w:t>要求</w:t>
      </w:r>
    </w:p>
    <w:p w14:paraId="5A7AEBF6">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猪牛等肉品必须提供检疫合格证明，检验标准如下：</w:t>
      </w:r>
    </w:p>
    <w:p w14:paraId="542156D3">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eastAsia="zh-CN"/>
        </w:rPr>
        <w:t>猪肉：</w:t>
      </w:r>
    </w:p>
    <w:p w14:paraId="2B12B9DB">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（1）严禁提供伤残、污染或变质猪肉，私宰猪、黄膘猪、米猪、母猪以及各种病猪。</w:t>
      </w:r>
    </w:p>
    <w:p w14:paraId="5D962C2B">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（2）新鲜猪肉的肌肉应色泽鲜红、有光泽；脂肪呈乳白色，骨头为白色或微黄色。具有的正常气味，无异味和臭味，有异味和腐臭味则为变质或不新鲜的猪肉。</w:t>
      </w:r>
    </w:p>
    <w:p w14:paraId="7C0E63B7">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（3）猪肉外表微干或微浸润，不粘手，切面应不渗水或不渗血水，反之则为注水猪肉。</w:t>
      </w:r>
    </w:p>
    <w:p w14:paraId="505E331A">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（4）猪腿肉肥瘦比例应按照肥肉</w:t>
      </w:r>
      <w:r>
        <w:rPr>
          <w:rFonts w:hint="eastAsia" w:ascii="宋体" w:hAnsi="宋体" w:eastAsia="宋体" w:cs="宋体"/>
          <w:color w:val="auto"/>
          <w:kern w:val="0"/>
          <w:sz w:val="21"/>
          <w:szCs w:val="21"/>
          <w:highlight w:val="none"/>
          <w:lang w:eastAsia="zh-CN"/>
        </w:rPr>
        <w:t>不超过</w:t>
      </w:r>
      <w:r>
        <w:rPr>
          <w:rFonts w:hint="eastAsia" w:ascii="宋体" w:hAnsi="宋体" w:eastAsia="宋体" w:cs="宋体"/>
          <w:color w:val="auto"/>
          <w:kern w:val="0"/>
          <w:sz w:val="21"/>
          <w:szCs w:val="21"/>
          <w:highlight w:val="none"/>
          <w:lang w:eastAsia="zh-CN"/>
        </w:rPr>
        <w:t>30%，瘦肉</w:t>
      </w:r>
      <w:r>
        <w:rPr>
          <w:rFonts w:hint="eastAsia" w:ascii="宋体" w:hAnsi="宋体" w:eastAsia="宋体" w:cs="宋体"/>
          <w:color w:val="auto"/>
          <w:kern w:val="0"/>
          <w:sz w:val="21"/>
          <w:szCs w:val="21"/>
          <w:highlight w:val="none"/>
          <w:lang w:eastAsia="zh-CN"/>
        </w:rPr>
        <w:t>不低于</w:t>
      </w:r>
      <w:r>
        <w:rPr>
          <w:rFonts w:hint="eastAsia" w:ascii="宋体" w:hAnsi="宋体" w:eastAsia="宋体" w:cs="宋体"/>
          <w:color w:val="auto"/>
          <w:kern w:val="0"/>
          <w:sz w:val="21"/>
          <w:szCs w:val="21"/>
          <w:highlight w:val="none"/>
          <w:lang w:eastAsia="zh-CN"/>
        </w:rPr>
        <w:t xml:space="preserve">70%的标准，净瘦肉的瘦肉比例应以99%为标准。 </w:t>
      </w:r>
    </w:p>
    <w:p w14:paraId="36A5E018">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（5）供应带皮猪肉的前后腿必须有屠宰检疫章印，没有则为私宰的猪肉。</w:t>
      </w:r>
    </w:p>
    <w:p w14:paraId="4E9F8B90">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（6）五花肉皮厚度不得超过1cm，肥肉层厚度不得超过2cm。</w:t>
      </w:r>
    </w:p>
    <w:p w14:paraId="75099E63">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（7）大、小肠类要清洗干净，肠内无粪便，保持新鲜，无变质、无异味、无油。</w:t>
      </w:r>
    </w:p>
    <w:p w14:paraId="7CFF3BC8">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（8）猪肚要清洗干净，肚内无粪便，新鲜无异味，肚壁油类最长不超过5－10毫米，重量在1.5斤—2.5斤之间为最佳。</w:t>
      </w:r>
    </w:p>
    <w:p w14:paraId="32638BC3">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（9）猪心重量应在0.5斤—1斤左右，新鲜无异味，猪心内无淤血，猪心外部其他连带筋脉只能占到猪心比例的5%以内为最佳。</w:t>
      </w:r>
    </w:p>
    <w:p w14:paraId="5A9495AB">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（10）尾节、二股肠要清洗干净，长度以尾节</w:t>
      </w:r>
      <w:r>
        <w:rPr>
          <w:rFonts w:hint="eastAsia" w:ascii="宋体" w:hAnsi="宋体" w:eastAsia="宋体" w:cs="宋体"/>
          <w:color w:val="auto"/>
          <w:kern w:val="0"/>
          <w:sz w:val="21"/>
          <w:szCs w:val="21"/>
          <w:highlight w:val="none"/>
          <w:lang w:eastAsia="zh-CN"/>
        </w:rPr>
        <w:t>不超过</w:t>
      </w:r>
      <w:r>
        <w:rPr>
          <w:rFonts w:hint="eastAsia" w:ascii="宋体" w:hAnsi="宋体" w:eastAsia="宋体" w:cs="宋体"/>
          <w:color w:val="auto"/>
          <w:kern w:val="0"/>
          <w:sz w:val="21"/>
          <w:szCs w:val="21"/>
          <w:highlight w:val="none"/>
          <w:lang w:eastAsia="zh-CN"/>
        </w:rPr>
        <w:t>40公分，二股肠</w:t>
      </w:r>
      <w:r>
        <w:rPr>
          <w:rFonts w:hint="eastAsia" w:ascii="宋体" w:hAnsi="宋体" w:eastAsia="宋体" w:cs="宋体"/>
          <w:color w:val="auto"/>
          <w:kern w:val="0"/>
          <w:sz w:val="21"/>
          <w:szCs w:val="21"/>
          <w:highlight w:val="none"/>
          <w:lang w:eastAsia="zh-CN"/>
        </w:rPr>
        <w:t>不超过</w:t>
      </w:r>
      <w:r>
        <w:rPr>
          <w:rFonts w:hint="eastAsia" w:ascii="宋体" w:hAnsi="宋体" w:eastAsia="宋体" w:cs="宋体"/>
          <w:color w:val="auto"/>
          <w:kern w:val="0"/>
          <w:sz w:val="21"/>
          <w:szCs w:val="21"/>
          <w:highlight w:val="none"/>
          <w:lang w:eastAsia="zh-CN"/>
        </w:rPr>
        <w:t>60公分为最佳，新鲜无异味，无粪便，无油。</w:t>
      </w:r>
    </w:p>
    <w:p w14:paraId="1B901753">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（11）猪腰要新鲜完整，外表无损伤，不抽筋，重量在2.5斤—3.5斤左右为最佳。</w:t>
      </w:r>
    </w:p>
    <w:p w14:paraId="24BFCB6F">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（12）前腿肉要求是猪肋骨第六根以内，不能超过此标准。</w:t>
      </w:r>
    </w:p>
    <w:p w14:paraId="2B883B3D">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（13）脚、耳、头和带皮肉需剃毛，达到皮面无毛无脏。</w:t>
      </w:r>
    </w:p>
    <w:p w14:paraId="3E2E4790">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（14）猪头皮、下巴肉、脸肉要新鲜无异味，加工烧净，洗割干净，无淋巴，无碎骨。</w:t>
      </w:r>
    </w:p>
    <w:p w14:paraId="70BB2076">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（15）生猪屠宰机构须具备定点屠宰场资格及动物防疫许可证，猪肉销售商须提供定点屠宰企业的销售授权书。</w:t>
      </w:r>
    </w:p>
    <w:p w14:paraId="342D1D78">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牛肉：</w:t>
      </w:r>
    </w:p>
    <w:p w14:paraId="5BBF64D8">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（1）供应商所提供的牛肉肌肉要有光泽，红色均匀，脂肪洁白或淡黄色，具有牛肉的正常气味。</w:t>
      </w:r>
    </w:p>
    <w:p w14:paraId="4348738D">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（2）外表微干或有风干的膜，不粘手，用手指按压后的凹陷能完全恢复。</w:t>
      </w:r>
    </w:p>
    <w:p w14:paraId="60F2F4A1">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（3）煮沸后的肉汤：肉汤透明澄清，脂肪团聚于肉汤表面，具有牛肉特有的香味和</w:t>
      </w:r>
      <w:r>
        <w:rPr>
          <w:rFonts w:hint="eastAsia" w:ascii="宋体" w:hAnsi="宋体" w:cs="宋体"/>
          <w:color w:val="auto"/>
          <w:kern w:val="0"/>
          <w:sz w:val="21"/>
          <w:szCs w:val="21"/>
          <w:highlight w:val="none"/>
          <w:lang w:eastAsia="zh-CN"/>
        </w:rPr>
        <w:t>鲜味</w:t>
      </w:r>
      <w:r>
        <w:rPr>
          <w:rFonts w:hint="eastAsia" w:ascii="宋体" w:hAnsi="宋体" w:eastAsia="宋体" w:cs="宋体"/>
          <w:color w:val="auto"/>
          <w:kern w:val="0"/>
          <w:sz w:val="21"/>
          <w:szCs w:val="21"/>
          <w:highlight w:val="none"/>
          <w:lang w:eastAsia="zh-CN"/>
        </w:rPr>
        <w:t>。</w:t>
      </w:r>
    </w:p>
    <w:p w14:paraId="709DED62">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（4）牛肉不能带骨、筋、油，没有达到要求的要重新加工后达到标准后方可交货。</w:t>
      </w:r>
    </w:p>
    <w:p w14:paraId="124F7F71">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（5）严禁提供注水肉、伤病肉、变质肉等不达标的牛肉。</w:t>
      </w:r>
    </w:p>
    <w:p w14:paraId="3D08C863">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p>
    <w:p w14:paraId="4E15DF06">
      <w:pPr>
        <w:keepNext w:val="0"/>
        <w:keepLines w:val="0"/>
        <w:pageBreakBefore w:val="0"/>
        <w:widowControl/>
        <w:shd w:val="clear" w:color="auto" w:fill="FFFFFF"/>
        <w:kinsoku/>
        <w:wordWrap/>
        <w:overflowPunct/>
        <w:topLinePunct w:val="0"/>
        <w:autoSpaceDE/>
        <w:autoSpaceDN/>
        <w:bidi w:val="0"/>
        <w:adjustRightInd/>
        <w:spacing w:line="440" w:lineRule="exact"/>
        <w:ind w:right="0" w:rightChars="0"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p>
    <w:p w14:paraId="68712977">
      <w:pPr>
        <w:keepNext w:val="0"/>
        <w:keepLines w:val="0"/>
        <w:pageBreakBefore w:val="0"/>
        <w:widowControl/>
        <w:shd w:val="clear" w:color="auto" w:fill="FFFFFF"/>
        <w:kinsoku/>
        <w:wordWrap/>
        <w:overflowPunct/>
        <w:topLinePunct w:val="0"/>
        <w:autoSpaceDE/>
        <w:autoSpaceDN/>
        <w:bidi w:val="0"/>
        <w:adjustRightInd/>
        <w:spacing w:line="440" w:lineRule="exact"/>
        <w:ind w:right="0" w:rightChars="0"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其他食材质量要求：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92"/>
        <w:gridCol w:w="7062"/>
      </w:tblGrid>
      <w:tr w14:paraId="40C2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42" w:type="dxa"/>
            <w:noWrap w:val="0"/>
            <w:vAlign w:val="center"/>
          </w:tcPr>
          <w:p w14:paraId="6241E789">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992" w:type="dxa"/>
            <w:noWrap w:val="0"/>
            <w:vAlign w:val="center"/>
          </w:tcPr>
          <w:p w14:paraId="36F21646">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品名</w:t>
            </w:r>
          </w:p>
        </w:tc>
        <w:tc>
          <w:tcPr>
            <w:tcW w:w="7062" w:type="dxa"/>
            <w:noWrap w:val="0"/>
            <w:vAlign w:val="center"/>
          </w:tcPr>
          <w:p w14:paraId="07622855">
            <w:pPr>
              <w:spacing w:line="3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技术参数要求</w:t>
            </w:r>
          </w:p>
        </w:tc>
      </w:tr>
      <w:tr w14:paraId="16A1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exact"/>
          <w:jc w:val="center"/>
        </w:trPr>
        <w:tc>
          <w:tcPr>
            <w:tcW w:w="742" w:type="dxa"/>
            <w:noWrap w:val="0"/>
            <w:vAlign w:val="center"/>
          </w:tcPr>
          <w:p w14:paraId="1C2AC950">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992" w:type="dxa"/>
            <w:noWrap w:val="0"/>
            <w:vAlign w:val="center"/>
          </w:tcPr>
          <w:p w14:paraId="7B93827E">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粮油类</w:t>
            </w:r>
          </w:p>
        </w:tc>
        <w:tc>
          <w:tcPr>
            <w:tcW w:w="7062" w:type="dxa"/>
            <w:noWrap w:val="0"/>
            <w:vAlign w:val="center"/>
          </w:tcPr>
          <w:p w14:paraId="18D47A54">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包括大米、面粉、面条、食用植物油等。大米优于或等于（一级）及以上等级</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花生油</w:t>
            </w:r>
            <w:r>
              <w:rPr>
                <w:rFonts w:hint="eastAsia" w:ascii="宋体" w:hAnsi="宋体" w:eastAsia="宋体" w:cs="宋体"/>
                <w:color w:val="auto"/>
                <w:sz w:val="21"/>
                <w:szCs w:val="21"/>
                <w:highlight w:val="none"/>
                <w:vertAlign w:val="baseline"/>
              </w:rPr>
              <w:t>不低于《花生油》（GB</w:t>
            </w:r>
            <w:r>
              <w:rPr>
                <w:rFonts w:hint="eastAsia" w:ascii="宋体" w:hAnsi="宋体" w:eastAsia="宋体" w:cs="宋体"/>
                <w:color w:val="auto"/>
                <w:sz w:val="21"/>
                <w:szCs w:val="21"/>
                <w:highlight w:val="none"/>
                <w:vertAlign w:val="baseline"/>
                <w:lang w:val="en-US" w:eastAsia="zh-CN"/>
              </w:rPr>
              <w:t>/T</w:t>
            </w:r>
            <w:r>
              <w:rPr>
                <w:rFonts w:hint="eastAsia" w:ascii="宋体" w:hAnsi="宋体" w:eastAsia="宋体" w:cs="宋体"/>
                <w:color w:val="auto"/>
                <w:sz w:val="21"/>
                <w:szCs w:val="21"/>
                <w:highlight w:val="none"/>
                <w:vertAlign w:val="baseline"/>
              </w:rPr>
              <w:t xml:space="preserve"> 1534）一级花生油的要求，并拥有“SC”食品质量安全认证</w:t>
            </w:r>
            <w:r>
              <w:rPr>
                <w:rFonts w:hint="eastAsia" w:ascii="宋体" w:hAnsi="宋体" w:cs="宋体"/>
                <w:color w:val="auto"/>
                <w:sz w:val="21"/>
                <w:szCs w:val="21"/>
                <w:highlight w:val="none"/>
                <w:vertAlign w:val="baseline"/>
                <w:lang w:eastAsia="zh-CN"/>
              </w:rPr>
              <w:t>。</w:t>
            </w:r>
            <w:r>
              <w:rPr>
                <w:rFonts w:hint="eastAsia" w:ascii="宋体" w:hAnsi="宋体" w:cs="宋体"/>
                <w:color w:val="auto"/>
                <w:kern w:val="0"/>
                <w:szCs w:val="21"/>
                <w:highlight w:val="none"/>
                <w:lang w:eastAsia="zh-CN"/>
              </w:rPr>
              <w:t>面粉</w:t>
            </w:r>
            <w:r>
              <w:rPr>
                <w:rFonts w:hint="eastAsia" w:ascii="宋体" w:hAnsi="宋体" w:eastAsia="宋体" w:cs="宋体"/>
                <w:color w:val="auto"/>
                <w:sz w:val="21"/>
                <w:szCs w:val="21"/>
                <w:highlight w:val="none"/>
                <w:vertAlign w:val="baseline"/>
              </w:rPr>
              <w:t>色泽呈白色或微黄色，不发暗，无杂质的颜色，呈细粉末状，不含杂质，手指捻捏时无粗粒感，无虫子和结块，置于手中紧捏后放开不成团，具有面粉的正常气味，无其他异味。</w:t>
            </w:r>
          </w:p>
        </w:tc>
      </w:tr>
      <w:tr w14:paraId="1C3A6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742" w:type="dxa"/>
            <w:noWrap w:val="0"/>
            <w:vAlign w:val="center"/>
          </w:tcPr>
          <w:p w14:paraId="6C590F7F">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992" w:type="dxa"/>
            <w:noWrap w:val="0"/>
            <w:vAlign w:val="center"/>
          </w:tcPr>
          <w:p w14:paraId="3D5CBA6B">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调味品、干货</w:t>
            </w:r>
          </w:p>
        </w:tc>
        <w:tc>
          <w:tcPr>
            <w:tcW w:w="7062" w:type="dxa"/>
            <w:noWrap w:val="0"/>
            <w:vAlign w:val="center"/>
          </w:tcPr>
          <w:p w14:paraId="48C96BA6">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糖、味精、酱油、醋、生粉等不得有受潮、霉变、虫蛀等现象。</w:t>
            </w:r>
          </w:p>
        </w:tc>
      </w:tr>
      <w:tr w14:paraId="02CD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jc w:val="center"/>
        </w:trPr>
        <w:tc>
          <w:tcPr>
            <w:tcW w:w="742" w:type="dxa"/>
            <w:noWrap w:val="0"/>
            <w:vAlign w:val="center"/>
          </w:tcPr>
          <w:p w14:paraId="2F25AB4D">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992" w:type="dxa"/>
            <w:noWrap w:val="0"/>
            <w:vAlign w:val="center"/>
          </w:tcPr>
          <w:p w14:paraId="430ABBD8">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鲜肉类</w:t>
            </w:r>
          </w:p>
        </w:tc>
        <w:tc>
          <w:tcPr>
            <w:tcW w:w="7062" w:type="dxa"/>
            <w:noWrap w:val="0"/>
            <w:vAlign w:val="center"/>
          </w:tcPr>
          <w:p w14:paraId="163DDDF9">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所有鲜肉类不得有变色、异味、变质、腐烂等现象，必须按照国家标准，具有相关监督部门出具的检疫合格证明。</w:t>
            </w:r>
          </w:p>
        </w:tc>
      </w:tr>
      <w:tr w14:paraId="074D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exact"/>
          <w:jc w:val="center"/>
        </w:trPr>
        <w:tc>
          <w:tcPr>
            <w:tcW w:w="742" w:type="dxa"/>
            <w:noWrap w:val="0"/>
            <w:vAlign w:val="center"/>
          </w:tcPr>
          <w:p w14:paraId="2C5D2FB0">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992" w:type="dxa"/>
            <w:noWrap w:val="0"/>
            <w:vAlign w:val="center"/>
          </w:tcPr>
          <w:p w14:paraId="5BB82AAB">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家禽类</w:t>
            </w:r>
          </w:p>
        </w:tc>
        <w:tc>
          <w:tcPr>
            <w:tcW w:w="7062" w:type="dxa"/>
            <w:noWrap w:val="0"/>
            <w:vAlign w:val="center"/>
          </w:tcPr>
          <w:p w14:paraId="29DA6964">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（1）必须保证提供为当日生产产品，畜肉品须色泽鲜亮、无任何异味、无毛、按压无注水，纹理清晰，肉质细腻，品质好；</w:t>
            </w:r>
          </w:p>
          <w:p w14:paraId="7DA3AA5E">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（2）肉面干净、无任何异味、无注水、无羽毛、表皮无疤痕，大小匀称、肉质</w:t>
            </w:r>
            <w:r>
              <w:rPr>
                <w:rFonts w:hint="eastAsia" w:ascii="宋体" w:hAnsi="宋体" w:cs="宋体"/>
                <w:color w:val="auto"/>
                <w:kern w:val="0"/>
                <w:szCs w:val="21"/>
                <w:highlight w:val="none"/>
                <w:lang w:eastAsia="zh-CN"/>
              </w:rPr>
              <w:t>紧致</w:t>
            </w:r>
            <w:r>
              <w:rPr>
                <w:rFonts w:hint="eastAsia" w:ascii="宋体" w:hAnsi="宋体" w:cs="宋体"/>
                <w:color w:val="auto"/>
                <w:kern w:val="0"/>
                <w:szCs w:val="21"/>
                <w:highlight w:val="none"/>
              </w:rPr>
              <w:t>，码放整齐；</w:t>
            </w:r>
          </w:p>
          <w:p w14:paraId="41B2DAC6">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（3）无腐败变质、污秽不洁、混有异物或者其他感官性状异常；</w:t>
            </w:r>
          </w:p>
          <w:p w14:paraId="3C67052F">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（4）不含有毒、有害物质或者被有害物质污染；</w:t>
            </w:r>
          </w:p>
          <w:p w14:paraId="5C0EFB08">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（5）不得是病死、毒死或者死因不明的家禽类及其制品。</w:t>
            </w:r>
          </w:p>
        </w:tc>
      </w:tr>
      <w:tr w14:paraId="6EC9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742" w:type="dxa"/>
            <w:noWrap w:val="0"/>
            <w:vAlign w:val="center"/>
          </w:tcPr>
          <w:p w14:paraId="620B2424">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992" w:type="dxa"/>
            <w:noWrap w:val="0"/>
            <w:vAlign w:val="center"/>
          </w:tcPr>
          <w:p w14:paraId="18A7C4C4">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鲜活水产品</w:t>
            </w:r>
          </w:p>
        </w:tc>
        <w:tc>
          <w:tcPr>
            <w:tcW w:w="7062" w:type="dxa"/>
            <w:noWrap w:val="0"/>
            <w:vAlign w:val="center"/>
          </w:tcPr>
          <w:p w14:paraId="790930D1">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所有水产品不得有腐败变质、污秽不洁、混有异物或者其他感官性状异常等变色、异味、变质、腐烂等现象</w:t>
            </w:r>
          </w:p>
        </w:tc>
      </w:tr>
      <w:tr w14:paraId="318A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exact"/>
          <w:jc w:val="center"/>
        </w:trPr>
        <w:tc>
          <w:tcPr>
            <w:tcW w:w="742" w:type="dxa"/>
            <w:noWrap w:val="0"/>
            <w:vAlign w:val="center"/>
          </w:tcPr>
          <w:p w14:paraId="45B25164">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992" w:type="dxa"/>
            <w:noWrap w:val="0"/>
            <w:vAlign w:val="center"/>
          </w:tcPr>
          <w:p w14:paraId="68E56841">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新鲜蔬菜</w:t>
            </w:r>
          </w:p>
        </w:tc>
        <w:tc>
          <w:tcPr>
            <w:tcW w:w="7062" w:type="dxa"/>
            <w:noWrap w:val="0"/>
            <w:vAlign w:val="center"/>
          </w:tcPr>
          <w:p w14:paraId="68215A37">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叶菜类：外形正常，叶梗光滑幼嫩，不干瘪凋萎，无过多黄叶，色泽正常。去除根须，不含土，无虫害，大白菜、卷心菜切开心不变黑，无腐烂情形，无明显浸水现象；根茎类：无虫咬、发芽、发霉现象，新鲜，形态大小统一。花果类：无虫害，成熟度良好，新鲜固有的色泽鲜明，无发霉发黄。瓜果类：外表光亮无斑点，有新鲜</w:t>
            </w:r>
            <w:r>
              <w:rPr>
                <w:rFonts w:hint="eastAsia" w:ascii="宋体" w:hAnsi="宋体" w:cs="宋体"/>
                <w:color w:val="auto"/>
                <w:kern w:val="0"/>
                <w:szCs w:val="21"/>
                <w:highlight w:val="none"/>
                <w:lang w:eastAsia="zh-CN"/>
              </w:rPr>
              <w:t>连接</w:t>
            </w:r>
            <w:r>
              <w:rPr>
                <w:rFonts w:hint="eastAsia" w:ascii="宋体" w:hAnsi="宋体" w:cs="宋体"/>
                <w:color w:val="auto"/>
                <w:kern w:val="0"/>
                <w:szCs w:val="21"/>
                <w:highlight w:val="none"/>
              </w:rPr>
              <w:t>的秧，形状正常、大小均匀，无软榻，成熟度适度。无腐烂，无污染，清洁，新鲜，无异味、无病虫损害。</w:t>
            </w:r>
          </w:p>
        </w:tc>
      </w:tr>
      <w:tr w14:paraId="58DB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jc w:val="center"/>
        </w:trPr>
        <w:tc>
          <w:tcPr>
            <w:tcW w:w="742" w:type="dxa"/>
            <w:noWrap w:val="0"/>
            <w:vAlign w:val="center"/>
          </w:tcPr>
          <w:p w14:paraId="0D03EA3D">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992" w:type="dxa"/>
            <w:noWrap w:val="0"/>
            <w:vAlign w:val="center"/>
          </w:tcPr>
          <w:p w14:paraId="1895C6D6">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新鲜水果</w:t>
            </w:r>
          </w:p>
        </w:tc>
        <w:tc>
          <w:tcPr>
            <w:tcW w:w="7062" w:type="dxa"/>
            <w:noWrap w:val="0"/>
            <w:vAlign w:val="center"/>
          </w:tcPr>
          <w:p w14:paraId="04D9984E">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四季时令新鲜水果等，无虫害，成熟度良好，新鲜固有的色泽鲜明，无发霉发黄，形状正常，大小均匀，无腐烂，无污染，无异味、无虫病损害。农药残留不超标。</w:t>
            </w:r>
          </w:p>
        </w:tc>
      </w:tr>
      <w:tr w14:paraId="1BFC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jc w:val="center"/>
        </w:trPr>
        <w:tc>
          <w:tcPr>
            <w:tcW w:w="742" w:type="dxa"/>
            <w:noWrap w:val="0"/>
            <w:vAlign w:val="center"/>
          </w:tcPr>
          <w:p w14:paraId="6AF27745">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992" w:type="dxa"/>
            <w:noWrap w:val="0"/>
            <w:vAlign w:val="center"/>
          </w:tcPr>
          <w:p w14:paraId="11290ABE">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其他</w:t>
            </w:r>
          </w:p>
        </w:tc>
        <w:tc>
          <w:tcPr>
            <w:tcW w:w="7062" w:type="dxa"/>
            <w:noWrap w:val="0"/>
            <w:vAlign w:val="center"/>
          </w:tcPr>
          <w:p w14:paraId="400FCDAD">
            <w:pPr>
              <w:spacing w:line="36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食堂用燃料；日用品及副食品配送。包括乳制品、饮料类、方便食品、膨化食品、食糖、食品菌制品、农副产品、洗涤用品、生活用纸类等不得有变质、受潮、霉变、虫蛀、过期等现象。</w:t>
            </w:r>
          </w:p>
        </w:tc>
      </w:tr>
    </w:tbl>
    <w:p w14:paraId="02E6A782">
      <w:pPr>
        <w:pStyle w:val="2"/>
        <w:rPr>
          <w:rFonts w:hint="eastAsia" w:ascii="宋体" w:hAnsi="宋体" w:eastAsia="宋体" w:cs="宋体"/>
          <w:color w:val="auto"/>
          <w:kern w:val="0"/>
          <w:sz w:val="21"/>
          <w:szCs w:val="21"/>
          <w:highlight w:val="none"/>
          <w:lang w:eastAsia="zh-CN"/>
        </w:rPr>
      </w:pPr>
    </w:p>
    <w:p w14:paraId="5D1ABBAF">
      <w:pPr>
        <w:keepNext w:val="0"/>
        <w:keepLines w:val="0"/>
        <w:pageBreakBefore w:val="0"/>
        <w:kinsoku/>
        <w:wordWrap/>
        <w:topLinePunct w:val="0"/>
        <w:bidi w:val="0"/>
        <w:adjustRightInd w:val="0"/>
        <w:snapToGrid w:val="0"/>
        <w:spacing w:beforeLines="0" w:afterLines="0"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（三）服务承诺要求</w:t>
      </w:r>
    </w:p>
    <w:p w14:paraId="5E4AD7D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1、供应商应提供质量监督管理部门检验合格证明的产品，每批次配送物资须提供相应的货物质量合格证明、产品质量检测合格报告或检疫报告复印件；粮油干货类产品需交样品保存。</w:t>
      </w:r>
    </w:p>
    <w:p w14:paraId="25B5553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2、供应商应保证所提供的配送物资是合格安全的产品，一旦发现伪劣假冒产品、以次充好产品或替代产品，将取消供应商供货资格，并由其承担相应的全部法律责任。</w:t>
      </w:r>
    </w:p>
    <w:p w14:paraId="5C3215D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3、供应商提供的所有配送物资须经采购人验收，验收标准按双方签订的采购合同规定的验收标准验收。如达不到验收标准，采购人有权当即拒收，供应商应及时补送符合验收标准的物资；若不能按规定补送，采购人有权按合同规定进行处罚。</w:t>
      </w:r>
    </w:p>
    <w:p w14:paraId="5A88CB2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4、供应商必须按照采购人通知的时间、数量、品种、规格、质量要求及协定的价格准时送货到指定地点，经验收合格后签字确认，不能以任何理由推托，一旦影响到食堂的正常运转，供应商应承担相应的经济赔偿。</w:t>
      </w:r>
    </w:p>
    <w:p w14:paraId="38994A2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5、供应商不能满足供货要求时，应以书面形式提前1个月通知采购人，经同意后方可中止合同。</w:t>
      </w:r>
    </w:p>
    <w:p w14:paraId="116A02A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6、如因配送物资质量问题发生的食物中毒等事故，由供应商承担全部经济赔偿责任和其他法律责任。</w:t>
      </w:r>
    </w:p>
    <w:p w14:paraId="784E5A2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7、供应商所配送物资必须保证新鲜或在保质期内，不能出现腐烂、变质等情况，发现问题必须按指定时间无条件退换；</w:t>
      </w:r>
    </w:p>
    <w:p w14:paraId="76445D9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8、供应商提供的肉类、蛋类、鱼类、禽类、豆制品及绿叶蔬菜等食品必须符合《中华人民共和国食品安全法》规定的质量标准；</w:t>
      </w:r>
    </w:p>
    <w:p w14:paraId="6D52A07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9、供应商所提供的配送</w:t>
      </w:r>
      <w:r>
        <w:rPr>
          <w:rFonts w:hint="eastAsia" w:ascii="宋体" w:hAnsi="宋体" w:cs="宋体"/>
          <w:color w:val="auto"/>
          <w:sz w:val="21"/>
          <w:szCs w:val="21"/>
          <w:highlight w:val="none"/>
          <w:vertAlign w:val="baseline"/>
          <w:lang w:eastAsia="zh-CN"/>
        </w:rPr>
        <w:t>物资</w:t>
      </w:r>
      <w:r>
        <w:rPr>
          <w:rFonts w:hint="eastAsia" w:ascii="宋体" w:hAnsi="宋体" w:eastAsia="宋体" w:cs="宋体"/>
          <w:color w:val="auto"/>
          <w:sz w:val="21"/>
          <w:szCs w:val="21"/>
          <w:highlight w:val="none"/>
          <w:vertAlign w:val="baseline"/>
        </w:rPr>
        <w:t>均需开具正规发票，采购人凭发票对公转结账。供应商开具的发票必须真实、合法、有效，如供应商提供虚假发票，由此引发的一切责任由供应商承担。</w:t>
      </w:r>
    </w:p>
    <w:p w14:paraId="528BD413">
      <w:pPr>
        <w:keepNext w:val="0"/>
        <w:keepLines w:val="0"/>
        <w:pageBreakBefore w:val="0"/>
        <w:kinsoku/>
        <w:wordWrap/>
        <w:topLinePunct w:val="0"/>
        <w:bidi w:val="0"/>
        <w:adjustRightInd w:val="0"/>
        <w:snapToGrid w:val="0"/>
        <w:spacing w:beforeLines="0" w:afterLines="0" w:line="44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三、商务条款</w:t>
      </w:r>
    </w:p>
    <w:p w14:paraId="333F1573">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（一）报价要求</w:t>
      </w:r>
    </w:p>
    <w:p w14:paraId="356A0F55">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cs="宋体"/>
          <w:bCs/>
          <w:color w:val="auto"/>
          <w:szCs w:val="21"/>
          <w:highlight w:val="none"/>
          <w:lang w:eastAsia="zh-CN"/>
        </w:rPr>
      </w:pPr>
      <w:r>
        <w:rPr>
          <w:rFonts w:hint="eastAsia" w:ascii="宋体" w:hAnsi="宋体" w:eastAsia="宋体" w:cs="宋体"/>
          <w:color w:val="auto"/>
          <w:sz w:val="21"/>
          <w:szCs w:val="21"/>
          <w:highlight w:val="none"/>
          <w:lang w:eastAsia="zh-CN"/>
        </w:rPr>
        <w:t>1、各供应商应根据本“采购需求及要求”，采用下浮系数的方式自行报价。</w:t>
      </w:r>
      <w:r>
        <w:rPr>
          <w:rFonts w:hint="eastAsia" w:ascii="宋体" w:hAnsi="宋体"/>
          <w:b/>
          <w:color w:val="auto"/>
          <w:szCs w:val="21"/>
          <w:highlight w:val="none"/>
        </w:rPr>
        <w:t>结算</w:t>
      </w:r>
      <w:r>
        <w:rPr>
          <w:rFonts w:hint="eastAsia" w:ascii="宋体" w:hAnsi="宋体"/>
          <w:b/>
          <w:color w:val="auto"/>
          <w:szCs w:val="21"/>
          <w:highlight w:val="none"/>
          <w:lang w:eastAsia="zh-CN"/>
        </w:rPr>
        <w:t>金额</w:t>
      </w:r>
      <w:r>
        <w:rPr>
          <w:rFonts w:hint="eastAsia" w:ascii="宋体" w:hAnsi="宋体"/>
          <w:color w:val="auto"/>
          <w:szCs w:val="21"/>
          <w:highlight w:val="none"/>
        </w:rPr>
        <w:t>=供应价格×数量×</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1-成交</w:t>
      </w:r>
      <w:r>
        <w:rPr>
          <w:rFonts w:hint="eastAsia" w:ascii="宋体" w:hAnsi="宋体"/>
          <w:b w:val="0"/>
          <w:bCs/>
          <w:color w:val="auto"/>
          <w:szCs w:val="21"/>
          <w:highlight w:val="none"/>
          <w:lang w:eastAsia="zh-CN"/>
        </w:rPr>
        <w:t>下浮系数）</w:t>
      </w:r>
      <w:r>
        <w:rPr>
          <w:rFonts w:hint="eastAsia" w:ascii="宋体" w:hAnsi="宋体"/>
          <w:color w:val="auto"/>
          <w:szCs w:val="21"/>
          <w:highlight w:val="none"/>
        </w:rPr>
        <w:t>。在合同期内，成交供应商的下浮比例（%）不得以市场价格波动等情况进行调整，成交供应商应承担由此带来的相应风险。</w:t>
      </w:r>
      <w:r>
        <w:rPr>
          <w:rFonts w:hint="eastAsia" w:ascii="宋体" w:hAnsi="宋体" w:cs="宋体"/>
          <w:bCs/>
          <w:color w:val="auto"/>
          <w:szCs w:val="21"/>
          <w:highlight w:val="none"/>
          <w:lang w:eastAsia="zh-CN"/>
        </w:rPr>
        <w:t>结算方式为月结（如当月有考核有扣款情形的，则在结算时还应扣除相应的扣款金额）</w:t>
      </w:r>
    </w:p>
    <w:p w14:paraId="6030CB9E">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2、报价应包含以下部分：  </w:t>
      </w:r>
    </w:p>
    <w:p w14:paraId="3AD2272F">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eq \o\ac(○,1)</w:instrTex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货物或服务的价格；  </w:t>
      </w:r>
    </w:p>
    <w:p w14:paraId="04F06870">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eq \o\ac(○,2)</w:instrTex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必要的保险费用和各项税金；  </w:t>
      </w:r>
    </w:p>
    <w:p w14:paraId="4E4DEFD5">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eq \o\ac(○,3)</w:instrTex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其他：运输、装卸、售后服务等费用；</w:t>
      </w:r>
    </w:p>
    <w:p w14:paraId="754100E7">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eq \o\ac(○,4)</w:instrTex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工作人员的工资、伙食补助等费用；</w:t>
      </w:r>
    </w:p>
    <w:p w14:paraId="3BBC512A">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eq \o\ac(○,5)</w:instrTex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验收过程中所产生的一切费用均由成交人承担，报价时应考虑相关费用；</w:t>
      </w:r>
    </w:p>
    <w:p w14:paraId="411AED0C">
      <w:pPr>
        <w:spacing w:line="440" w:lineRule="exact"/>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Cs w:val="21"/>
          <w:highlight w:val="none"/>
        </w:rPr>
        <w:t>有效报价范围为：</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 w:val="21"/>
          <w:szCs w:val="21"/>
          <w:highlight w:val="none"/>
          <w:lang w:val="en-US" w:eastAsia="zh-CN"/>
        </w:rPr>
        <w:t>投标人下浮系数&lt;100%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投标人报价系数</w:t>
      </w:r>
      <w:r>
        <w:rPr>
          <w:rFonts w:hint="eastAsia" w:ascii="宋体" w:hAnsi="宋体" w:cs="宋体"/>
          <w:color w:val="auto"/>
          <w:szCs w:val="21"/>
          <w:highlight w:val="none"/>
        </w:rPr>
        <w:t>保留百分比小数后两位</w:t>
      </w:r>
      <w:r>
        <w:rPr>
          <w:rFonts w:hint="eastAsia" w:ascii="宋体" w:hAnsi="宋体" w:cs="宋体"/>
          <w:color w:val="auto"/>
          <w:szCs w:val="21"/>
          <w:highlight w:val="none"/>
          <w:lang w:eastAsia="zh-CN"/>
        </w:rPr>
        <w:t>。</w:t>
      </w:r>
    </w:p>
    <w:p w14:paraId="6FBB8C34">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（二）供货地点、合同履行期限</w:t>
      </w:r>
    </w:p>
    <w:p w14:paraId="09A2CD6A">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1、供货地点：免费送货至采购人指定地点，并由成交人负责装卸。</w:t>
      </w:r>
    </w:p>
    <w:p w14:paraId="7F2FD8FB">
      <w:pPr>
        <w:keepNext w:val="0"/>
        <w:keepLines w:val="0"/>
        <w:pageBreakBefore w:val="0"/>
        <w:kinsoku/>
        <w:wordWrap/>
        <w:overflowPunct/>
        <w:topLinePunct w:val="0"/>
        <w:autoSpaceDE/>
        <w:autoSpaceDN/>
        <w:bidi w:val="0"/>
        <w:adjustRightInd/>
        <w:spacing w:line="440" w:lineRule="exact"/>
        <w:ind w:left="0" w:leftChars="0"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w:t>
      </w:r>
      <w:r>
        <w:rPr>
          <w:rFonts w:hint="eastAsia" w:ascii="宋体" w:hAnsi="宋体" w:eastAsia="宋体" w:cs="宋体"/>
          <w:color w:val="auto"/>
          <w:sz w:val="21"/>
          <w:szCs w:val="21"/>
          <w:highlight w:val="none"/>
        </w:rPr>
        <w:t>期限：1年。</w:t>
      </w:r>
    </w:p>
    <w:p w14:paraId="4F8D19B6">
      <w:pPr>
        <w:keepNext w:val="0"/>
        <w:keepLines w:val="0"/>
        <w:pageBreakBefore w:val="0"/>
        <w:widowControl/>
        <w:kinsoku/>
        <w:wordWrap/>
        <w:overflowPunct w:val="0"/>
        <w:topLinePunct w:val="0"/>
        <w:autoSpaceDE w:val="0"/>
        <w:autoSpaceDN w:val="0"/>
        <w:bidi w:val="0"/>
        <w:adjustRightInd w:val="0"/>
        <w:snapToGrid/>
        <w:spacing w:beforeLines="-2147483648" w:afterLines="-2147483648" w:line="440" w:lineRule="exact"/>
        <w:ind w:firstLine="422" w:firstLineChars="200"/>
        <w:jc w:val="left"/>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（三）付款方式</w:t>
      </w:r>
    </w:p>
    <w:p w14:paraId="03756C46">
      <w:pPr>
        <w:pStyle w:val="2"/>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本项目采用先供货后对账再结算方式，无预付款。供应商须每月15日将上个月配送清单及汇总表交采购人审核确认，供应商按审核确认后的结算金额开具等额发票给采购人，采购人据双方核定的金额每个月结算一次货款。采购人收到发票及相关票据后7个工作日内，以银行转账方式向成交供应商支付货款。成交供应商须按时足额提供发票及相关票据，否则采购人有权拒绝付款而不构成违约。</w:t>
      </w:r>
    </w:p>
    <w:p w14:paraId="067FD1CD">
      <w:pPr>
        <w:pStyle w:val="2"/>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物品供应价格：由成交供应商每半个月进行一次市场调查，形成市场价格目录表提供给采购人，采购人根据其提供的市场价格目录表进行市场核价，双方按核查后的市场价格作为此期间的供应价格。本项目市场调查地点为</w:t>
      </w:r>
      <w:r>
        <w:rPr>
          <w:rFonts w:hint="eastAsia" w:ascii="宋体" w:hAnsi="宋体" w:cs="宋体"/>
          <w:b w:val="0"/>
          <w:bCs/>
          <w:color w:val="auto"/>
          <w:sz w:val="21"/>
          <w:szCs w:val="21"/>
          <w:highlight w:val="none"/>
          <w:lang w:val="en-US" w:eastAsia="zh-CN"/>
        </w:rPr>
        <w:t>钦州市商业大厦和东风市场</w:t>
      </w:r>
      <w:r>
        <w:rPr>
          <w:rFonts w:hint="eastAsia" w:ascii="宋体" w:hAnsi="宋体" w:eastAsia="宋体" w:cs="宋体"/>
          <w:b w:val="0"/>
          <w:bCs/>
          <w:color w:val="auto"/>
          <w:sz w:val="21"/>
          <w:szCs w:val="21"/>
          <w:highlight w:val="none"/>
          <w:lang w:val="en-US" w:eastAsia="zh-CN"/>
        </w:rPr>
        <w:t>。</w:t>
      </w:r>
    </w:p>
    <w:p w14:paraId="29BBD812">
      <w:pPr>
        <w:pStyle w:val="2"/>
        <w:keepNext w:val="0"/>
        <w:keepLines w:val="0"/>
        <w:pageBreakBefore w:val="0"/>
        <w:kinsoku/>
        <w:wordWrap/>
        <w:overflowPunct/>
        <w:topLinePunct w:val="0"/>
        <w:autoSpaceDE/>
        <w:autoSpaceDN/>
        <w:bidi w:val="0"/>
        <w:adjustRightInd/>
        <w:spacing w:line="440" w:lineRule="exact"/>
        <w:ind w:right="0" w:rightChars="0" w:firstLine="420" w:firstLineChars="200"/>
        <w:textAlignment w:val="auto"/>
        <w:outlineLvl w:val="9"/>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4、结算金额=供应价格×数量×（1-成交下浮系数）。在合同期内，成交供应商的下浮比例（%）不得以市场价格波动等情况进行调整，成交供应商应承担由此带来的相应风险。</w:t>
      </w:r>
      <w:r>
        <w:rPr>
          <w:rFonts w:hint="eastAsia" w:ascii="宋体" w:hAnsi="宋体" w:cs="宋体"/>
          <w:bCs/>
          <w:color w:val="auto"/>
          <w:szCs w:val="21"/>
          <w:highlight w:val="none"/>
          <w:lang w:eastAsia="zh-CN"/>
        </w:rPr>
        <w:t>结算方式为月结（如当月有考核有扣款情形的，则在结算时还应扣除相应的扣款金额）</w:t>
      </w:r>
    </w:p>
    <w:p w14:paraId="179A4E67">
      <w:pPr>
        <w:rPr>
          <w:rFonts w:hint="eastAsia" w:ascii="宋体" w:hAnsi="宋体" w:eastAsia="宋体" w:cs="宋体"/>
          <w:color w:val="auto"/>
          <w:highlight w:val="none"/>
        </w:rPr>
        <w:sectPr>
          <w:footerReference r:id="rId6" w:type="default"/>
          <w:pgSz w:w="11906" w:h="16838"/>
          <w:pgMar w:top="1440" w:right="1417" w:bottom="1440" w:left="1417" w:header="851" w:footer="992" w:gutter="0"/>
          <w:pgNumType w:fmt="decimal"/>
          <w:cols w:space="425" w:num="1"/>
          <w:docGrid w:type="lines" w:linePitch="312" w:charSpace="0"/>
        </w:sectPr>
      </w:pPr>
    </w:p>
    <w:p w14:paraId="7CCD5F7D">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eastAsia="zh-CN"/>
        </w:rPr>
        <w:t>附件</w:t>
      </w:r>
      <w:r>
        <w:rPr>
          <w:rFonts w:hint="eastAsia" w:ascii="宋体" w:hAnsi="宋体" w:eastAsia="宋体" w:cs="宋体"/>
          <w:b/>
          <w:bCs w:val="0"/>
          <w:color w:val="auto"/>
          <w:sz w:val="21"/>
          <w:szCs w:val="21"/>
          <w:highlight w:val="none"/>
          <w:lang w:val="en-US" w:eastAsia="zh-CN"/>
        </w:rPr>
        <w:t>1</w:t>
      </w:r>
    </w:p>
    <w:p w14:paraId="5BC280A7">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国家税务总局钦州市钦南区税务局食堂食材配送考核方案</w:t>
      </w:r>
    </w:p>
    <w:p w14:paraId="4018B3DD">
      <w:pPr>
        <w:pStyle w:val="2"/>
        <w:keepNext w:val="0"/>
        <w:keepLines w:val="0"/>
        <w:pageBreakBefore w:val="0"/>
        <w:widowControl w:val="0"/>
        <w:kinsoku/>
        <w:wordWrap/>
        <w:overflowPunct/>
        <w:topLinePunct w:val="0"/>
        <w:bidi w:val="0"/>
        <w:snapToGrid/>
        <w:spacing w:line="440" w:lineRule="exact"/>
        <w:textAlignment w:val="auto"/>
        <w:rPr>
          <w:rFonts w:hint="eastAsia" w:ascii="方正小标宋简体" w:hAnsi="宋体" w:eastAsia="方正小标宋简体"/>
          <w:b/>
          <w:color w:val="auto"/>
          <w:sz w:val="44"/>
          <w:szCs w:val="44"/>
          <w:highlight w:val="none"/>
          <w:lang w:eastAsia="zh-CN"/>
        </w:rPr>
      </w:pPr>
    </w:p>
    <w:p w14:paraId="3D49E3C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为进一步规范机关职工食堂管理，从源头上严格把控食材进货关，</w:t>
      </w:r>
      <w:r>
        <w:rPr>
          <w:rFonts w:hint="eastAsia" w:ascii="宋体" w:hAnsi="宋体" w:eastAsia="宋体" w:cs="宋体"/>
          <w:b w:val="0"/>
          <w:bCs w:val="0"/>
          <w:color w:val="auto"/>
          <w:sz w:val="21"/>
          <w:szCs w:val="21"/>
          <w:highlight w:val="none"/>
          <w:lang w:eastAsia="zh-CN"/>
        </w:rPr>
        <w:t>做实</w:t>
      </w:r>
      <w:r>
        <w:rPr>
          <w:rFonts w:hint="eastAsia" w:ascii="宋体" w:hAnsi="宋体" w:eastAsia="宋体" w:cs="宋体"/>
          <w:b w:val="0"/>
          <w:bCs w:val="0"/>
          <w:color w:val="auto"/>
          <w:sz w:val="21"/>
          <w:szCs w:val="21"/>
          <w:highlight w:val="none"/>
        </w:rPr>
        <w:t>食堂食品</w:t>
      </w:r>
      <w:r>
        <w:rPr>
          <w:rFonts w:hint="eastAsia" w:ascii="宋体" w:hAnsi="宋体" w:eastAsia="宋体" w:cs="宋体"/>
          <w:b w:val="0"/>
          <w:bCs w:val="0"/>
          <w:color w:val="auto"/>
          <w:sz w:val="21"/>
          <w:szCs w:val="21"/>
          <w:highlight w:val="none"/>
          <w:lang w:eastAsia="zh-CN"/>
        </w:rPr>
        <w:t>的</w:t>
      </w:r>
      <w:r>
        <w:rPr>
          <w:rFonts w:hint="eastAsia" w:ascii="宋体" w:hAnsi="宋体" w:eastAsia="宋体" w:cs="宋体"/>
          <w:b w:val="0"/>
          <w:bCs w:val="0"/>
          <w:color w:val="auto"/>
          <w:sz w:val="21"/>
          <w:szCs w:val="21"/>
          <w:highlight w:val="none"/>
        </w:rPr>
        <w:t>安全监管，降低饮食卫生质量安全风险，</w:t>
      </w:r>
      <w:r>
        <w:rPr>
          <w:rFonts w:hint="eastAsia" w:ascii="宋体" w:hAnsi="宋体" w:eastAsia="宋体" w:cs="宋体"/>
          <w:b w:val="0"/>
          <w:bCs w:val="0"/>
          <w:color w:val="auto"/>
          <w:sz w:val="21"/>
          <w:szCs w:val="21"/>
          <w:highlight w:val="none"/>
          <w:lang w:eastAsia="zh-CN"/>
        </w:rPr>
        <w:t>从而</w:t>
      </w:r>
      <w:r>
        <w:rPr>
          <w:rFonts w:hint="eastAsia" w:ascii="宋体" w:hAnsi="宋体" w:eastAsia="宋体" w:cs="宋体"/>
          <w:b w:val="0"/>
          <w:bCs w:val="0"/>
          <w:color w:val="auto"/>
          <w:sz w:val="21"/>
          <w:szCs w:val="21"/>
          <w:highlight w:val="none"/>
        </w:rPr>
        <w:t>提高干部职工工作餐饮食质量，</w:t>
      </w:r>
      <w:r>
        <w:rPr>
          <w:rFonts w:hint="eastAsia" w:ascii="宋体" w:hAnsi="宋体" w:eastAsia="宋体" w:cs="宋体"/>
          <w:color w:val="auto"/>
          <w:sz w:val="21"/>
          <w:szCs w:val="21"/>
          <w:highlight w:val="none"/>
        </w:rPr>
        <w:t>依据《</w:t>
      </w:r>
      <w:r>
        <w:rPr>
          <w:rFonts w:hint="eastAsia" w:ascii="宋体" w:hAnsi="宋体" w:eastAsia="宋体" w:cs="宋体"/>
          <w:color w:val="auto"/>
          <w:sz w:val="21"/>
          <w:szCs w:val="21"/>
          <w:highlight w:val="none"/>
          <w:lang w:eastAsia="zh-CN"/>
        </w:rPr>
        <w:t>国家税务总局钦州市钦南区税务局食堂食材配送</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rPr>
        <w:t>合同》相关规定，制定以下考核方案。</w:t>
      </w:r>
    </w:p>
    <w:p w14:paraId="074DDB9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一、考核对象</w:t>
      </w:r>
    </w:p>
    <w:p w14:paraId="179D967F">
      <w:pPr>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本方案考核方是指采购人，被考核方是指</w:t>
      </w:r>
      <w:r>
        <w:rPr>
          <w:rFonts w:hint="eastAsia" w:ascii="宋体" w:hAnsi="宋体" w:cs="宋体"/>
          <w:color w:val="auto"/>
          <w:sz w:val="21"/>
          <w:szCs w:val="21"/>
          <w:highlight w:val="none"/>
          <w:lang w:eastAsia="zh-CN"/>
        </w:rPr>
        <w:t>成交人</w:t>
      </w:r>
      <w:r>
        <w:rPr>
          <w:rFonts w:hint="eastAsia" w:ascii="宋体" w:hAnsi="宋体" w:eastAsia="宋体" w:cs="宋体"/>
          <w:color w:val="auto"/>
          <w:sz w:val="21"/>
          <w:szCs w:val="21"/>
          <w:highlight w:val="none"/>
        </w:rPr>
        <w:t>。</w:t>
      </w:r>
    </w:p>
    <w:p w14:paraId="11897EC1">
      <w:pPr>
        <w:pStyle w:val="23"/>
        <w:keepNext w:val="0"/>
        <w:keepLines w:val="0"/>
        <w:pageBreakBefore w:val="0"/>
        <w:widowControl w:val="0"/>
        <w:kinsoku/>
        <w:wordWrap/>
        <w:overflowPunct/>
        <w:topLinePunct w:val="0"/>
        <w:bidi w:val="0"/>
        <w:snapToGrid/>
        <w:spacing w:line="44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二、考核内容</w:t>
      </w:r>
    </w:p>
    <w:p w14:paraId="0D5CC5E6">
      <w:pPr>
        <w:spacing w:line="5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（一）综合工作质量</w:t>
      </w:r>
    </w:p>
    <w:tbl>
      <w:tblPr>
        <w:tblStyle w:val="15"/>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270"/>
        <w:gridCol w:w="4395"/>
      </w:tblGrid>
      <w:tr w14:paraId="6A83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98" w:type="dxa"/>
            <w:vAlign w:val="center"/>
          </w:tcPr>
          <w:p w14:paraId="4CF153D6">
            <w:pPr>
              <w:widowControl/>
              <w:spacing w:line="360" w:lineRule="auto"/>
              <w:jc w:val="center"/>
              <w:rPr>
                <w:rFonts w:hint="eastAsia" w:ascii="宋体" w:hAnsi="宋体" w:eastAsia="宋体" w:cs="宋体"/>
                <w:b/>
                <w:color w:val="auto"/>
                <w:kern w:val="0"/>
                <w:sz w:val="21"/>
                <w:szCs w:val="21"/>
                <w:highlight w:val="none"/>
                <w:lang w:eastAsia="zh-CN"/>
              </w:rPr>
            </w:pPr>
            <w:r>
              <w:rPr>
                <w:rFonts w:hint="eastAsia" w:ascii="宋体" w:hAnsi="宋体" w:cs="宋体"/>
                <w:b/>
                <w:color w:val="auto"/>
                <w:kern w:val="0"/>
                <w:sz w:val="21"/>
                <w:szCs w:val="21"/>
                <w:highlight w:val="none"/>
                <w:lang w:eastAsia="zh-CN"/>
              </w:rPr>
              <w:t>考核项目</w:t>
            </w:r>
          </w:p>
        </w:tc>
        <w:tc>
          <w:tcPr>
            <w:tcW w:w="3270" w:type="dxa"/>
            <w:vAlign w:val="center"/>
          </w:tcPr>
          <w:p w14:paraId="61EC9609">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考　核　内　容</w:t>
            </w:r>
          </w:p>
        </w:tc>
        <w:tc>
          <w:tcPr>
            <w:tcW w:w="4395" w:type="dxa"/>
          </w:tcPr>
          <w:p w14:paraId="1F905CED">
            <w:pPr>
              <w:widowControl/>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检查结果运用</w:t>
            </w:r>
          </w:p>
        </w:tc>
      </w:tr>
      <w:tr w14:paraId="2CE9E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298" w:type="dxa"/>
            <w:vMerge w:val="restart"/>
            <w:vAlign w:val="center"/>
          </w:tcPr>
          <w:p w14:paraId="0D86873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综合工作质量</w:t>
            </w:r>
          </w:p>
        </w:tc>
        <w:tc>
          <w:tcPr>
            <w:tcW w:w="3270" w:type="dxa"/>
            <w:vAlign w:val="center"/>
          </w:tcPr>
          <w:p w14:paraId="555F154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每天在正常情况下配送食材</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次</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特殊情况或临时有需要，则随叫随到，及时提供采购，并送达指定地点。</w:t>
            </w:r>
          </w:p>
        </w:tc>
        <w:tc>
          <w:tcPr>
            <w:tcW w:w="4395" w:type="dxa"/>
            <w:vAlign w:val="center"/>
          </w:tcPr>
          <w:p w14:paraId="7547635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不按采购人</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eastAsia="zh-CN"/>
              </w:rPr>
              <w:t>按时配送食材</w:t>
            </w:r>
            <w:r>
              <w:rPr>
                <w:rFonts w:hint="eastAsia" w:ascii="宋体" w:hAnsi="宋体" w:eastAsia="宋体" w:cs="宋体"/>
                <w:color w:val="auto"/>
                <w:sz w:val="21"/>
                <w:szCs w:val="21"/>
                <w:highlight w:val="none"/>
              </w:rPr>
              <w:t>，每次扣款100元，</w:t>
            </w:r>
            <w:r>
              <w:rPr>
                <w:rFonts w:hint="eastAsia" w:ascii="宋体" w:hAnsi="宋体" w:eastAsia="宋体" w:cs="宋体"/>
                <w:color w:val="auto"/>
                <w:sz w:val="21"/>
                <w:szCs w:val="21"/>
                <w:highlight w:val="none"/>
                <w:lang w:eastAsia="zh-CN"/>
              </w:rPr>
              <w:t>不按时配送</w:t>
            </w:r>
            <w:r>
              <w:rPr>
                <w:rFonts w:hint="eastAsia" w:ascii="宋体" w:hAnsi="宋体" w:eastAsia="宋体" w:cs="宋体"/>
                <w:color w:val="auto"/>
                <w:sz w:val="21"/>
                <w:szCs w:val="21"/>
                <w:highlight w:val="none"/>
              </w:rPr>
              <w:t>连续超过</w:t>
            </w:r>
            <w:r>
              <w:rPr>
                <w:rFonts w:hint="eastAsia" w:ascii="宋体" w:hAnsi="宋体" w:eastAsia="宋体" w:cs="宋体"/>
                <w:color w:val="auto"/>
                <w:sz w:val="21"/>
                <w:szCs w:val="21"/>
                <w:highlight w:val="none"/>
                <w:lang w:val="en-US" w:eastAsia="zh-CN"/>
              </w:rPr>
              <w:t>3次</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从第4</w:t>
            </w:r>
            <w:r>
              <w:rPr>
                <w:rFonts w:hint="eastAsia" w:ascii="宋体" w:hAnsi="宋体" w:eastAsia="宋体" w:cs="宋体"/>
                <w:color w:val="auto"/>
                <w:sz w:val="21"/>
                <w:szCs w:val="21"/>
                <w:highlight w:val="none"/>
                <w:lang w:eastAsia="zh-CN"/>
              </w:rPr>
              <w:t>次</w:t>
            </w:r>
            <w:r>
              <w:rPr>
                <w:rFonts w:hint="eastAsia" w:ascii="宋体" w:hAnsi="宋体" w:eastAsia="宋体" w:cs="宋体"/>
                <w:color w:val="auto"/>
                <w:sz w:val="21"/>
                <w:szCs w:val="21"/>
                <w:highlight w:val="none"/>
              </w:rPr>
              <w:t>起每次扣款300元。</w:t>
            </w:r>
          </w:p>
        </w:tc>
      </w:tr>
      <w:tr w14:paraId="34A1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298" w:type="dxa"/>
            <w:vMerge w:val="continue"/>
            <w:vAlign w:val="center"/>
          </w:tcPr>
          <w:p w14:paraId="01D548B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c>
          <w:tcPr>
            <w:tcW w:w="3270" w:type="dxa"/>
            <w:vAlign w:val="center"/>
          </w:tcPr>
          <w:p w14:paraId="727251F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配送人员保持良好的个人卫生，穿戴清洁的工作</w:t>
            </w:r>
            <w:r>
              <w:rPr>
                <w:rFonts w:hint="eastAsia" w:ascii="宋体" w:hAnsi="宋体" w:eastAsia="宋体" w:cs="宋体"/>
                <w:color w:val="auto"/>
                <w:sz w:val="21"/>
                <w:szCs w:val="21"/>
                <w:highlight w:val="none"/>
                <w:lang w:eastAsia="zh-CN"/>
              </w:rPr>
              <w:t>服</w:t>
            </w:r>
            <w:r>
              <w:rPr>
                <w:rFonts w:hint="eastAsia" w:ascii="宋体" w:hAnsi="宋体" w:eastAsia="宋体" w:cs="宋体"/>
                <w:color w:val="auto"/>
                <w:sz w:val="21"/>
                <w:szCs w:val="21"/>
                <w:highlight w:val="none"/>
              </w:rPr>
              <w:t>，不留长指甲，不涂指甲油，保持手部清洁。</w:t>
            </w:r>
          </w:p>
        </w:tc>
        <w:tc>
          <w:tcPr>
            <w:tcW w:w="4395" w:type="dxa"/>
            <w:vAlign w:val="center"/>
          </w:tcPr>
          <w:p w14:paraId="4AD9D15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第一次扣款100元，第二次扣款200元，第三次扣款500元，三次扣款以后如再发生违反考核内容的，每次扣款1000元。</w:t>
            </w:r>
          </w:p>
        </w:tc>
      </w:tr>
      <w:tr w14:paraId="16F1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98" w:type="dxa"/>
            <w:vMerge w:val="continue"/>
            <w:vAlign w:val="center"/>
          </w:tcPr>
          <w:p w14:paraId="125D51B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c>
          <w:tcPr>
            <w:tcW w:w="3270" w:type="dxa"/>
            <w:vAlign w:val="center"/>
          </w:tcPr>
          <w:p w14:paraId="62026D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配送人员</w:t>
            </w:r>
            <w:r>
              <w:rPr>
                <w:rFonts w:hint="eastAsia" w:ascii="宋体" w:hAnsi="宋体" w:eastAsia="宋体" w:cs="宋体"/>
                <w:color w:val="auto"/>
                <w:sz w:val="21"/>
                <w:szCs w:val="21"/>
                <w:highlight w:val="none"/>
                <w:lang w:eastAsia="zh-CN"/>
              </w:rPr>
              <w:t>必须</w:t>
            </w:r>
            <w:r>
              <w:rPr>
                <w:rFonts w:hint="eastAsia" w:ascii="宋体" w:hAnsi="宋体" w:eastAsia="宋体" w:cs="宋体"/>
                <w:color w:val="auto"/>
                <w:sz w:val="21"/>
                <w:szCs w:val="21"/>
                <w:highlight w:val="none"/>
              </w:rPr>
              <w:t>持有健康证件</w:t>
            </w:r>
            <w:r>
              <w:rPr>
                <w:rFonts w:hint="eastAsia" w:ascii="宋体" w:hAnsi="宋体" w:eastAsia="宋体" w:cs="宋体"/>
                <w:color w:val="auto"/>
                <w:sz w:val="21"/>
                <w:szCs w:val="21"/>
                <w:highlight w:val="none"/>
                <w:lang w:eastAsia="zh-CN"/>
              </w:rPr>
              <w:t>。</w:t>
            </w:r>
          </w:p>
        </w:tc>
        <w:tc>
          <w:tcPr>
            <w:tcW w:w="4395" w:type="dxa"/>
            <w:vAlign w:val="center"/>
          </w:tcPr>
          <w:p w14:paraId="1027B2F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b w:val="0"/>
                <w:bCs w:val="0"/>
                <w:color w:val="auto"/>
                <w:spacing w:val="0"/>
                <w:kern w:val="2"/>
                <w:sz w:val="21"/>
                <w:szCs w:val="21"/>
                <w:highlight w:val="none"/>
                <w:vertAlign w:val="baseline"/>
                <w:lang w:val="en-US" w:eastAsia="zh-CN" w:bidi="ar-SA"/>
              </w:rPr>
              <w:t>从业人员未取得健康证的，一律不能上岗，发现配送人员无健康证，扣款500元。</w:t>
            </w:r>
          </w:p>
        </w:tc>
      </w:tr>
      <w:tr w14:paraId="66AE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298" w:type="dxa"/>
            <w:vMerge w:val="continue"/>
            <w:vAlign w:val="center"/>
          </w:tcPr>
          <w:p w14:paraId="2EDCA21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p>
        </w:tc>
        <w:tc>
          <w:tcPr>
            <w:tcW w:w="3270" w:type="dxa"/>
            <w:vAlign w:val="center"/>
          </w:tcPr>
          <w:p w14:paraId="7CC7CA4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人员在工作期间遇投诉，经采购人核实为有效投诉</w:t>
            </w:r>
            <w:r>
              <w:rPr>
                <w:rFonts w:hint="eastAsia" w:ascii="宋体" w:hAnsi="宋体" w:eastAsia="宋体" w:cs="宋体"/>
                <w:color w:val="auto"/>
                <w:sz w:val="21"/>
                <w:szCs w:val="21"/>
                <w:highlight w:val="none"/>
                <w:lang w:eastAsia="zh-CN"/>
              </w:rPr>
              <w:t>。</w:t>
            </w:r>
          </w:p>
        </w:tc>
        <w:tc>
          <w:tcPr>
            <w:tcW w:w="4395" w:type="dxa"/>
            <w:vAlign w:val="center"/>
          </w:tcPr>
          <w:p w14:paraId="1DCA811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第一次扣款100元，第二次扣款200元，第三次扣款500元，三次扣款以后如再发生违反以上规定的，每次扣款1000元。</w:t>
            </w:r>
          </w:p>
        </w:tc>
      </w:tr>
      <w:tr w14:paraId="10AC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1298" w:type="dxa"/>
            <w:vMerge w:val="continue"/>
            <w:vAlign w:val="center"/>
          </w:tcPr>
          <w:p w14:paraId="051444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p>
        </w:tc>
        <w:tc>
          <w:tcPr>
            <w:tcW w:w="3270" w:type="dxa"/>
            <w:vAlign w:val="center"/>
          </w:tcPr>
          <w:p w14:paraId="25E5D3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人员如有变动，需提前书面报采购人备案，并在</w:t>
            </w:r>
            <w:r>
              <w:rPr>
                <w:rFonts w:hint="eastAsia" w:ascii="宋体" w:hAnsi="宋体" w:eastAsia="宋体" w:cs="宋体"/>
                <w:color w:val="auto"/>
                <w:sz w:val="21"/>
                <w:szCs w:val="21"/>
                <w:highlight w:val="none"/>
                <w:lang w:eastAsia="zh-CN"/>
              </w:rPr>
              <w:t>原配送人员</w:t>
            </w:r>
            <w:r>
              <w:rPr>
                <w:rFonts w:hint="eastAsia" w:ascii="宋体" w:hAnsi="宋体" w:eastAsia="宋体" w:cs="宋体"/>
                <w:color w:val="auto"/>
                <w:sz w:val="21"/>
                <w:szCs w:val="21"/>
                <w:highlight w:val="none"/>
              </w:rPr>
              <w:t>离职前配备新员工到岗。</w:t>
            </w:r>
          </w:p>
        </w:tc>
        <w:tc>
          <w:tcPr>
            <w:tcW w:w="4395" w:type="dxa"/>
            <w:vAlign w:val="center"/>
          </w:tcPr>
          <w:p w14:paraId="779E0233">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不提前通知采购人</w:t>
            </w:r>
            <w:r>
              <w:rPr>
                <w:rFonts w:hint="eastAsia" w:ascii="宋体" w:hAnsi="宋体" w:eastAsia="宋体" w:cs="宋体"/>
                <w:color w:val="auto"/>
                <w:sz w:val="21"/>
                <w:szCs w:val="21"/>
                <w:highlight w:val="none"/>
              </w:rPr>
              <w:t>每次扣款300元。</w:t>
            </w:r>
          </w:p>
        </w:tc>
      </w:tr>
      <w:tr w14:paraId="6EEF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298" w:type="dxa"/>
            <w:vMerge w:val="continue"/>
            <w:vAlign w:val="center"/>
          </w:tcPr>
          <w:p w14:paraId="347A4D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c>
          <w:tcPr>
            <w:tcW w:w="3270" w:type="dxa"/>
            <w:vAlign w:val="center"/>
          </w:tcPr>
          <w:p w14:paraId="169AEF7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人</w:t>
            </w:r>
            <w:r>
              <w:rPr>
                <w:rFonts w:hint="eastAsia" w:ascii="宋体" w:hAnsi="宋体" w:cs="宋体"/>
                <w:color w:val="auto"/>
                <w:sz w:val="21"/>
                <w:szCs w:val="21"/>
                <w:highlight w:val="none"/>
                <w:lang w:eastAsia="zh-CN"/>
              </w:rPr>
              <w:t>员</w:t>
            </w:r>
            <w:r>
              <w:rPr>
                <w:rFonts w:hint="eastAsia" w:ascii="宋体" w:hAnsi="宋体" w:eastAsia="宋体" w:cs="宋体"/>
                <w:color w:val="auto"/>
                <w:sz w:val="21"/>
                <w:szCs w:val="21"/>
                <w:highlight w:val="none"/>
              </w:rPr>
              <w:t>工作失误造成不良后果的</w:t>
            </w:r>
          </w:p>
        </w:tc>
        <w:tc>
          <w:tcPr>
            <w:tcW w:w="4395" w:type="dxa"/>
            <w:vAlign w:val="center"/>
          </w:tcPr>
          <w:p w14:paraId="66F68788">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每次扣款1000元。</w:t>
            </w:r>
          </w:p>
        </w:tc>
      </w:tr>
      <w:tr w14:paraId="50E3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98" w:type="dxa"/>
            <w:vMerge w:val="continue"/>
            <w:vAlign w:val="center"/>
          </w:tcPr>
          <w:p w14:paraId="2A66269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p>
        </w:tc>
        <w:tc>
          <w:tcPr>
            <w:tcW w:w="3270" w:type="dxa"/>
            <w:vAlign w:val="center"/>
          </w:tcPr>
          <w:p w14:paraId="317D7A6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原因发生事故，造成恶劣影响的</w:t>
            </w:r>
          </w:p>
        </w:tc>
        <w:tc>
          <w:tcPr>
            <w:tcW w:w="4395" w:type="dxa"/>
            <w:vAlign w:val="center"/>
          </w:tcPr>
          <w:p w14:paraId="16A4CBFE">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每次扣款5000元。</w:t>
            </w:r>
          </w:p>
        </w:tc>
      </w:tr>
      <w:tr w14:paraId="023E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98" w:type="dxa"/>
            <w:vAlign w:val="center"/>
          </w:tcPr>
          <w:p w14:paraId="75F9068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食材质量</w:t>
            </w:r>
          </w:p>
        </w:tc>
        <w:tc>
          <w:tcPr>
            <w:tcW w:w="3270" w:type="dxa"/>
            <w:vAlign w:val="center"/>
          </w:tcPr>
          <w:p w14:paraId="3D67005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供应商应根据食材质量要求提供食材</w:t>
            </w:r>
          </w:p>
        </w:tc>
        <w:tc>
          <w:tcPr>
            <w:tcW w:w="4395" w:type="dxa"/>
            <w:vAlign w:val="center"/>
          </w:tcPr>
          <w:p w14:paraId="024773E2">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发现有食品安全质量问题的，</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有权退</w:t>
            </w:r>
            <w:r>
              <w:rPr>
                <w:rFonts w:hint="eastAsia" w:ascii="宋体" w:hAnsi="宋体" w:eastAsia="宋体" w:cs="宋体"/>
                <w:color w:val="auto"/>
                <w:sz w:val="21"/>
                <w:szCs w:val="21"/>
                <w:highlight w:val="none"/>
                <w:lang w:eastAsia="zh-CN"/>
              </w:rPr>
              <w:t>换</w:t>
            </w:r>
            <w:r>
              <w:rPr>
                <w:rFonts w:hint="eastAsia" w:ascii="宋体" w:hAnsi="宋体" w:eastAsia="宋体" w:cs="宋体"/>
                <w:color w:val="auto"/>
                <w:sz w:val="21"/>
                <w:szCs w:val="21"/>
                <w:highlight w:val="none"/>
              </w:rPr>
              <w:t>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第一次扣款</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元，第二次扣款</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元，第三次扣款</w:t>
            </w:r>
            <w:r>
              <w:rPr>
                <w:rFonts w:hint="eastAsia" w:ascii="宋体" w:hAnsi="宋体" w:eastAsia="宋体" w:cs="宋体"/>
                <w:color w:val="auto"/>
                <w:sz w:val="21"/>
                <w:szCs w:val="21"/>
                <w:highlight w:val="none"/>
                <w:lang w:val="en-US" w:eastAsia="zh-CN"/>
              </w:rPr>
              <w:t>200</w:t>
            </w:r>
            <w:r>
              <w:rPr>
                <w:rFonts w:hint="eastAsia" w:ascii="宋体" w:hAnsi="宋体" w:eastAsia="宋体" w:cs="宋体"/>
                <w:color w:val="auto"/>
                <w:sz w:val="21"/>
                <w:szCs w:val="21"/>
                <w:highlight w:val="none"/>
              </w:rPr>
              <w:t>元，三次扣款以后如再发生</w:t>
            </w:r>
            <w:r>
              <w:rPr>
                <w:rFonts w:hint="eastAsia" w:ascii="宋体" w:hAnsi="宋体" w:eastAsia="宋体" w:cs="宋体"/>
                <w:color w:val="auto"/>
                <w:sz w:val="21"/>
                <w:szCs w:val="21"/>
                <w:highlight w:val="none"/>
                <w:lang w:eastAsia="zh-CN"/>
              </w:rPr>
              <w:t>质量问题</w:t>
            </w:r>
            <w:r>
              <w:rPr>
                <w:rFonts w:hint="eastAsia" w:ascii="宋体" w:hAnsi="宋体" w:eastAsia="宋体" w:cs="宋体"/>
                <w:color w:val="auto"/>
                <w:sz w:val="21"/>
                <w:szCs w:val="21"/>
                <w:highlight w:val="none"/>
              </w:rPr>
              <w:t>的，每次扣款1000元。</w:t>
            </w:r>
          </w:p>
        </w:tc>
      </w:tr>
    </w:tbl>
    <w:p w14:paraId="3196083A">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p>
    <w:p w14:paraId="44B1102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三、考核方式</w:t>
      </w:r>
    </w:p>
    <w:p w14:paraId="0912C81C">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（一）实行灵活期限检查考核</w:t>
      </w:r>
    </w:p>
    <w:p w14:paraId="47EB1375">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检查考核以《国家税务总局钦州市钦南区税务局食堂食材配送考核方案》为依据，采用灵活期限的检查考核方式，具体以定期和不定期相结合的检查形式对</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人进行考核。</w:t>
      </w:r>
    </w:p>
    <w:p w14:paraId="63047AB2">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定期检查：</w:t>
      </w:r>
      <w:r>
        <w:rPr>
          <w:rFonts w:hint="eastAsia" w:ascii="宋体" w:hAnsi="宋体" w:eastAsia="宋体" w:cs="宋体"/>
          <w:color w:val="auto"/>
          <w:sz w:val="21"/>
          <w:szCs w:val="21"/>
          <w:highlight w:val="none"/>
          <w:lang w:eastAsia="zh-CN"/>
        </w:rPr>
        <w:t>每季度进行一次，采购人和</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color w:val="auto"/>
          <w:sz w:val="21"/>
          <w:szCs w:val="21"/>
          <w:highlight w:val="none"/>
          <w:lang w:eastAsia="zh-CN"/>
        </w:rPr>
        <w:t>共同参与检查</w:t>
      </w:r>
      <w:r>
        <w:rPr>
          <w:rFonts w:hint="eastAsia" w:ascii="宋体" w:hAnsi="宋体" w:eastAsia="宋体" w:cs="宋体"/>
          <w:b w:val="0"/>
          <w:bCs w:val="0"/>
          <w:color w:val="auto"/>
          <w:sz w:val="21"/>
          <w:szCs w:val="21"/>
          <w:highlight w:val="none"/>
          <w:lang w:eastAsia="zh-CN"/>
        </w:rPr>
        <w:t>。</w:t>
      </w:r>
    </w:p>
    <w:p w14:paraId="002587A6">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不定期</w:t>
      </w:r>
      <w:r>
        <w:rPr>
          <w:rFonts w:hint="eastAsia" w:ascii="宋体" w:hAnsi="宋体" w:eastAsia="宋体" w:cs="宋体"/>
          <w:color w:val="auto"/>
          <w:sz w:val="21"/>
          <w:szCs w:val="21"/>
          <w:highlight w:val="none"/>
          <w:lang w:eastAsia="zh-CN"/>
        </w:rPr>
        <w:t>检查：根据工作情况，随机、随时、随地开展检查，可不协同</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color w:val="auto"/>
          <w:sz w:val="21"/>
          <w:szCs w:val="21"/>
          <w:highlight w:val="none"/>
          <w:lang w:eastAsia="zh-CN"/>
        </w:rPr>
        <w:t>参与检查</w:t>
      </w:r>
      <w:r>
        <w:rPr>
          <w:rFonts w:hint="eastAsia" w:ascii="宋体" w:hAnsi="宋体" w:eastAsia="宋体" w:cs="宋体"/>
          <w:b w:val="0"/>
          <w:bCs w:val="0"/>
          <w:color w:val="auto"/>
          <w:sz w:val="21"/>
          <w:szCs w:val="21"/>
          <w:highlight w:val="none"/>
          <w:lang w:eastAsia="zh-CN"/>
        </w:rPr>
        <w:t>。</w:t>
      </w:r>
    </w:p>
    <w:p w14:paraId="11BB14F6">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采购人在抽检考核时，不论定期或不定期检查，均以</w:t>
      </w:r>
      <w:r>
        <w:rPr>
          <w:rFonts w:hint="eastAsia" w:ascii="宋体" w:hAnsi="宋体" w:eastAsia="宋体" w:cs="宋体"/>
          <w:color w:val="auto"/>
          <w:sz w:val="21"/>
          <w:szCs w:val="21"/>
          <w:highlight w:val="none"/>
          <w:lang w:eastAsia="zh-CN"/>
        </w:rPr>
        <w:t>双方</w:t>
      </w:r>
      <w:r>
        <w:rPr>
          <w:rFonts w:hint="eastAsia" w:ascii="宋体" w:hAnsi="宋体" w:eastAsia="宋体" w:cs="宋体"/>
          <w:color w:val="auto"/>
          <w:sz w:val="21"/>
          <w:szCs w:val="21"/>
          <w:highlight w:val="none"/>
        </w:rPr>
        <w:t>签名的《</w:t>
      </w:r>
      <w:r>
        <w:rPr>
          <w:rFonts w:hint="eastAsia" w:ascii="宋体" w:hAnsi="宋体" w:eastAsia="宋体" w:cs="宋体"/>
          <w:color w:val="auto"/>
          <w:sz w:val="21"/>
          <w:szCs w:val="21"/>
          <w:highlight w:val="none"/>
          <w:lang w:eastAsia="zh-CN"/>
        </w:rPr>
        <w:t>配送</w:t>
      </w:r>
      <w:r>
        <w:rPr>
          <w:rFonts w:hint="eastAsia" w:ascii="宋体" w:hAnsi="宋体" w:eastAsia="宋体" w:cs="宋体"/>
          <w:color w:val="auto"/>
          <w:sz w:val="21"/>
          <w:szCs w:val="21"/>
          <w:highlight w:val="none"/>
        </w:rPr>
        <w:t>服务质量考核记录表》（见附件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）为依据。考核结果由双方签字认可，</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color w:val="auto"/>
          <w:sz w:val="21"/>
          <w:szCs w:val="21"/>
          <w:highlight w:val="none"/>
        </w:rPr>
        <w:t>工作内容存在问题且未在采购人限期内改正的，按本方案</w:t>
      </w:r>
      <w:r>
        <w:rPr>
          <w:rFonts w:hint="eastAsia" w:ascii="宋体" w:hAnsi="宋体" w:eastAsia="宋体" w:cs="宋体"/>
          <w:color w:val="auto"/>
          <w:sz w:val="21"/>
          <w:szCs w:val="21"/>
          <w:highlight w:val="none"/>
          <w:lang w:eastAsia="zh-CN"/>
        </w:rPr>
        <w:t>结果运用</w:t>
      </w:r>
      <w:r>
        <w:rPr>
          <w:rFonts w:hint="eastAsia" w:ascii="宋体" w:hAnsi="宋体" w:eastAsia="宋体" w:cs="宋体"/>
          <w:color w:val="auto"/>
          <w:sz w:val="21"/>
          <w:szCs w:val="21"/>
          <w:highlight w:val="none"/>
        </w:rPr>
        <w:t>执行，于付款时扣款。</w:t>
      </w:r>
    </w:p>
    <w:p w14:paraId="79B8308A">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（二）实行工作单式考核制度</w:t>
      </w:r>
    </w:p>
    <w:p w14:paraId="31FF913B">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对临时性或特殊性工作安排，由</w:t>
      </w:r>
      <w:r>
        <w:rPr>
          <w:rFonts w:hint="eastAsia" w:ascii="宋体" w:hAnsi="宋体" w:eastAsia="宋体" w:cs="宋体"/>
          <w:color w:val="auto"/>
          <w:sz w:val="21"/>
          <w:szCs w:val="21"/>
          <w:highlight w:val="none"/>
          <w:lang w:eastAsia="zh-CN"/>
        </w:rPr>
        <w:t>采购人发送采购通知单</w:t>
      </w:r>
      <w:r>
        <w:rPr>
          <w:rFonts w:hint="eastAsia" w:ascii="宋体" w:hAnsi="宋体" w:eastAsia="宋体" w:cs="宋体"/>
          <w:color w:val="auto"/>
          <w:sz w:val="21"/>
          <w:szCs w:val="21"/>
          <w:highlight w:val="none"/>
        </w:rPr>
        <w:t>，明确</w:t>
      </w:r>
      <w:r>
        <w:rPr>
          <w:rFonts w:hint="eastAsia" w:ascii="宋体" w:hAnsi="宋体" w:eastAsia="宋体" w:cs="宋体"/>
          <w:color w:val="auto"/>
          <w:sz w:val="21"/>
          <w:szCs w:val="21"/>
          <w:highlight w:val="none"/>
          <w:lang w:eastAsia="zh-CN"/>
        </w:rPr>
        <w:t>配送时间、物品名称、物品数量、送货地点等，</w:t>
      </w:r>
      <w:r>
        <w:rPr>
          <w:rFonts w:hint="eastAsia" w:ascii="宋体" w:hAnsi="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color w:val="auto"/>
          <w:sz w:val="21"/>
          <w:szCs w:val="21"/>
          <w:highlight w:val="none"/>
        </w:rPr>
        <w:t>必须在规定期限内完成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如不能按照要求和期限完成工作，必须</w:t>
      </w:r>
      <w:r>
        <w:rPr>
          <w:rFonts w:hint="eastAsia" w:ascii="宋体" w:hAnsi="宋体" w:eastAsia="宋体" w:cs="宋体"/>
          <w:color w:val="auto"/>
          <w:sz w:val="21"/>
          <w:szCs w:val="21"/>
          <w:highlight w:val="none"/>
          <w:lang w:eastAsia="zh-CN"/>
        </w:rPr>
        <w:t>提前书面说明</w:t>
      </w:r>
      <w:r>
        <w:rPr>
          <w:rFonts w:hint="eastAsia" w:ascii="宋体" w:hAnsi="宋体" w:eastAsia="宋体" w:cs="宋体"/>
          <w:color w:val="auto"/>
          <w:sz w:val="21"/>
          <w:szCs w:val="21"/>
          <w:highlight w:val="none"/>
        </w:rPr>
        <w:t>原因并</w:t>
      </w:r>
      <w:r>
        <w:rPr>
          <w:rFonts w:hint="eastAsia" w:ascii="宋体" w:hAnsi="宋体" w:eastAsia="宋体" w:cs="宋体"/>
          <w:color w:val="auto"/>
          <w:sz w:val="21"/>
          <w:szCs w:val="21"/>
          <w:highlight w:val="none"/>
          <w:lang w:eastAsia="zh-CN"/>
        </w:rPr>
        <w:t>在工作任务前</w:t>
      </w:r>
      <w:r>
        <w:rPr>
          <w:rFonts w:hint="eastAsia" w:ascii="宋体" w:hAnsi="宋体" w:eastAsia="宋体" w:cs="宋体"/>
          <w:color w:val="auto"/>
          <w:sz w:val="21"/>
          <w:szCs w:val="21"/>
          <w:highlight w:val="none"/>
          <w:lang w:val="en-US" w:eastAsia="zh-CN"/>
        </w:rPr>
        <w:t>3个小时向采购人</w:t>
      </w:r>
      <w:r>
        <w:rPr>
          <w:rFonts w:hint="eastAsia" w:ascii="宋体" w:hAnsi="宋体" w:eastAsia="宋体" w:cs="宋体"/>
          <w:color w:val="auto"/>
          <w:sz w:val="21"/>
          <w:szCs w:val="21"/>
          <w:highlight w:val="none"/>
        </w:rPr>
        <w:t>提交。</w:t>
      </w:r>
    </w:p>
    <w:p w14:paraId="40EC1EBF">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27A567C3">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31315EBA">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1D29AE8C">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29FE9795">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55266344">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43742417">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7C8283AD">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205117E4">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4DDAB6A3">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49D26196">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6225E09D">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5145FEB0">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768E21BA">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p>
    <w:p w14:paraId="14248F17">
      <w:pPr>
        <w:pStyle w:val="10"/>
        <w:keepNext w:val="0"/>
        <w:keepLines w:val="0"/>
        <w:pageBreakBefore w:val="0"/>
        <w:widowControl w:val="0"/>
        <w:kinsoku/>
        <w:wordWrap/>
        <w:overflowPunct/>
        <w:topLinePunct w:val="0"/>
        <w:bidi w:val="0"/>
        <w:snapToGrid/>
        <w:spacing w:line="5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附件2</w:t>
      </w:r>
    </w:p>
    <w:p w14:paraId="453555CB">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配送服务质量考核记录表</w:t>
      </w:r>
    </w:p>
    <w:tbl>
      <w:tblPr>
        <w:tblStyle w:val="16"/>
        <w:tblpPr w:leftFromText="180" w:rightFromText="180" w:vertAnchor="text" w:horzAnchor="page" w:tblpX="1455" w:tblpY="557"/>
        <w:tblOverlap w:val="never"/>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560"/>
        <w:gridCol w:w="3008"/>
        <w:gridCol w:w="1867"/>
        <w:gridCol w:w="1806"/>
      </w:tblGrid>
      <w:tr w14:paraId="6B99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275" w:type="dxa"/>
            <w:gridSpan w:val="2"/>
            <w:vAlign w:val="center"/>
          </w:tcPr>
          <w:p w14:paraId="1D878B90">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检查项目</w:t>
            </w:r>
          </w:p>
        </w:tc>
        <w:tc>
          <w:tcPr>
            <w:tcW w:w="3008" w:type="dxa"/>
            <w:vAlign w:val="center"/>
          </w:tcPr>
          <w:p w14:paraId="7D2C7A1F">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检查情况</w:t>
            </w:r>
          </w:p>
        </w:tc>
        <w:tc>
          <w:tcPr>
            <w:tcW w:w="1867" w:type="dxa"/>
            <w:vAlign w:val="center"/>
          </w:tcPr>
          <w:p w14:paraId="0B1EA516">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lang w:eastAsia="zh-CN"/>
              </w:rPr>
            </w:pPr>
            <w:r>
              <w:rPr>
                <w:rFonts w:hint="eastAsia" w:ascii="宋体" w:hAnsi="宋体" w:eastAsia="宋体" w:cs="宋体"/>
                <w:b w:val="0"/>
                <w:bCs w:val="0"/>
                <w:color w:val="auto"/>
                <w:sz w:val="21"/>
                <w:szCs w:val="21"/>
                <w:highlight w:val="none"/>
                <w:vertAlign w:val="baseline"/>
                <w:lang w:eastAsia="zh-CN"/>
              </w:rPr>
              <w:t>限期改正</w:t>
            </w:r>
          </w:p>
        </w:tc>
        <w:tc>
          <w:tcPr>
            <w:tcW w:w="1806" w:type="dxa"/>
            <w:vAlign w:val="center"/>
          </w:tcPr>
          <w:p w14:paraId="088F71AF">
            <w:pPr>
              <w:pStyle w:val="10"/>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eastAsia="宋体" w:cs="宋体"/>
                <w:b w:val="0"/>
                <w:bCs w:val="0"/>
                <w:color w:val="auto"/>
                <w:sz w:val="21"/>
                <w:szCs w:val="21"/>
                <w:highlight w:val="none"/>
                <w:vertAlign w:val="baseline"/>
              </w:rPr>
            </w:pPr>
            <w:r>
              <w:rPr>
                <w:rFonts w:hint="eastAsia" w:ascii="宋体" w:hAnsi="宋体" w:eastAsia="宋体" w:cs="宋体"/>
                <w:b w:val="0"/>
                <w:bCs w:val="0"/>
                <w:color w:val="auto"/>
                <w:sz w:val="21"/>
                <w:szCs w:val="21"/>
                <w:highlight w:val="none"/>
                <w:vertAlign w:val="baseline"/>
                <w:lang w:eastAsia="zh-CN"/>
              </w:rPr>
              <w:t>考核结果</w:t>
            </w:r>
          </w:p>
        </w:tc>
      </w:tr>
      <w:tr w14:paraId="73D1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275" w:type="dxa"/>
            <w:gridSpan w:val="2"/>
            <w:vAlign w:val="center"/>
          </w:tcPr>
          <w:p w14:paraId="4D3E5C64">
            <w:pPr>
              <w:widowControl w:val="0"/>
              <w:spacing w:line="50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eastAsia="宋体" w:cs="宋体"/>
                <w:b w:val="0"/>
                <w:bCs/>
                <w:color w:val="auto"/>
                <w:sz w:val="21"/>
                <w:szCs w:val="21"/>
                <w:highlight w:val="none"/>
              </w:rPr>
              <w:t>综合工作质量</w:t>
            </w:r>
          </w:p>
        </w:tc>
        <w:tc>
          <w:tcPr>
            <w:tcW w:w="3008" w:type="dxa"/>
          </w:tcPr>
          <w:p w14:paraId="0ED60427">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5A44AD35">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37109193">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6E2F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5" w:type="dxa"/>
            <w:vMerge w:val="restart"/>
            <w:vAlign w:val="center"/>
          </w:tcPr>
          <w:p w14:paraId="3ECD70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食材</w:t>
            </w:r>
            <w:r>
              <w:rPr>
                <w:rFonts w:hint="eastAsia" w:ascii="宋体" w:hAnsi="宋体" w:eastAsia="宋体" w:cs="宋体"/>
                <w:b w:val="0"/>
                <w:bCs/>
                <w:color w:val="auto"/>
                <w:sz w:val="21"/>
                <w:szCs w:val="21"/>
                <w:highlight w:val="none"/>
              </w:rPr>
              <w:t>质量</w:t>
            </w:r>
          </w:p>
          <w:p w14:paraId="1B4A7E31">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5A19677F">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粮油类</w:t>
            </w:r>
          </w:p>
        </w:tc>
        <w:tc>
          <w:tcPr>
            <w:tcW w:w="3008" w:type="dxa"/>
          </w:tcPr>
          <w:p w14:paraId="7BFCE9AC">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60CAAAE7">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0F54F61C">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5610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5" w:type="dxa"/>
            <w:vMerge w:val="continue"/>
            <w:vAlign w:val="center"/>
          </w:tcPr>
          <w:p w14:paraId="1FAD82A1">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6D5EC844">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调味品、干货</w:t>
            </w:r>
          </w:p>
        </w:tc>
        <w:tc>
          <w:tcPr>
            <w:tcW w:w="3008" w:type="dxa"/>
          </w:tcPr>
          <w:p w14:paraId="1C67D9E1">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783FD014">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3CEF6BED">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38D9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02D965EB">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535075AF">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鲜肉类</w:t>
            </w:r>
          </w:p>
        </w:tc>
        <w:tc>
          <w:tcPr>
            <w:tcW w:w="3008" w:type="dxa"/>
          </w:tcPr>
          <w:p w14:paraId="52175D66">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6F5631FA">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551D23B4">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6AB6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6008C33B">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375E286C">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家禽类</w:t>
            </w:r>
          </w:p>
        </w:tc>
        <w:tc>
          <w:tcPr>
            <w:tcW w:w="3008" w:type="dxa"/>
          </w:tcPr>
          <w:p w14:paraId="5900A2A7">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24C0016E">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248A32FE">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034B6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14EE9ACB">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4F4C0581">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鲜活水产品</w:t>
            </w:r>
          </w:p>
        </w:tc>
        <w:tc>
          <w:tcPr>
            <w:tcW w:w="3008" w:type="dxa"/>
          </w:tcPr>
          <w:p w14:paraId="4219AF7D">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4F425677">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356ED77A">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3649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674262A4">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2D5F94FA">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新鲜蔬菜</w:t>
            </w:r>
          </w:p>
        </w:tc>
        <w:tc>
          <w:tcPr>
            <w:tcW w:w="3008" w:type="dxa"/>
          </w:tcPr>
          <w:p w14:paraId="0D533398">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43D4C074">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6A263CF3">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577B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637E7186">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687D6529">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新鲜水果</w:t>
            </w:r>
          </w:p>
        </w:tc>
        <w:tc>
          <w:tcPr>
            <w:tcW w:w="3008" w:type="dxa"/>
          </w:tcPr>
          <w:p w14:paraId="63601CD9">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5280A3A2">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4C89D64C">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r w14:paraId="5678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5" w:type="dxa"/>
            <w:vMerge w:val="continue"/>
            <w:vAlign w:val="center"/>
          </w:tcPr>
          <w:p w14:paraId="4733557D">
            <w:pPr>
              <w:widowControl w:val="0"/>
              <w:jc w:val="center"/>
              <w:rPr>
                <w:rFonts w:hint="eastAsia" w:ascii="宋体" w:hAnsi="宋体" w:eastAsia="宋体" w:cs="宋体"/>
                <w:b w:val="0"/>
                <w:bCs/>
                <w:color w:val="auto"/>
                <w:kern w:val="2"/>
                <w:sz w:val="21"/>
                <w:szCs w:val="21"/>
                <w:highlight w:val="none"/>
                <w:vertAlign w:val="baseline"/>
                <w:lang w:val="en-US" w:eastAsia="zh-CN" w:bidi="ar-SA"/>
              </w:rPr>
            </w:pPr>
          </w:p>
        </w:tc>
        <w:tc>
          <w:tcPr>
            <w:tcW w:w="1560" w:type="dxa"/>
            <w:vAlign w:val="center"/>
          </w:tcPr>
          <w:p w14:paraId="10EDD6AC">
            <w:pPr>
              <w:spacing w:line="360" w:lineRule="exact"/>
              <w:jc w:val="center"/>
              <w:rPr>
                <w:rFonts w:hint="eastAsia" w:ascii="宋体" w:hAnsi="宋体" w:eastAsia="宋体" w:cs="宋体"/>
                <w:b w:val="0"/>
                <w:bCs/>
                <w:color w:val="auto"/>
                <w:kern w:val="2"/>
                <w:sz w:val="21"/>
                <w:szCs w:val="21"/>
                <w:highlight w:val="none"/>
                <w:vertAlign w:val="baseline"/>
                <w:lang w:val="en-US" w:eastAsia="zh-CN" w:bidi="ar-SA"/>
              </w:rPr>
            </w:pPr>
            <w:r>
              <w:rPr>
                <w:rFonts w:hint="eastAsia" w:ascii="宋体" w:hAnsi="宋体" w:cs="宋体"/>
                <w:color w:val="auto"/>
                <w:kern w:val="0"/>
                <w:szCs w:val="21"/>
                <w:highlight w:val="none"/>
              </w:rPr>
              <w:t>其他</w:t>
            </w:r>
          </w:p>
        </w:tc>
        <w:tc>
          <w:tcPr>
            <w:tcW w:w="3008" w:type="dxa"/>
          </w:tcPr>
          <w:p w14:paraId="5836B5B3">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67" w:type="dxa"/>
          </w:tcPr>
          <w:p w14:paraId="3C7F00D9">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c>
          <w:tcPr>
            <w:tcW w:w="1806" w:type="dxa"/>
          </w:tcPr>
          <w:p w14:paraId="24A9708E">
            <w:pPr>
              <w:pStyle w:val="10"/>
              <w:keepNext w:val="0"/>
              <w:keepLines w:val="0"/>
              <w:pageBreakBefore w:val="0"/>
              <w:widowControl w:val="0"/>
              <w:kinsoku/>
              <w:wordWrap/>
              <w:overflowPunct/>
              <w:topLinePunct w:val="0"/>
              <w:bidi w:val="0"/>
              <w:snapToGrid/>
              <w:spacing w:line="560" w:lineRule="exact"/>
              <w:ind w:firstLine="420" w:firstLineChars="200"/>
              <w:jc w:val="center"/>
              <w:textAlignment w:val="auto"/>
              <w:rPr>
                <w:rFonts w:hint="eastAsia" w:ascii="宋体" w:hAnsi="宋体" w:eastAsia="宋体" w:cs="宋体"/>
                <w:b w:val="0"/>
                <w:bCs/>
                <w:color w:val="auto"/>
                <w:sz w:val="21"/>
                <w:szCs w:val="21"/>
                <w:highlight w:val="none"/>
                <w:vertAlign w:val="baseline"/>
              </w:rPr>
            </w:pPr>
          </w:p>
        </w:tc>
      </w:tr>
    </w:tbl>
    <w:p w14:paraId="1A66BE6D">
      <w:pPr>
        <w:pStyle w:val="10"/>
        <w:keepNext w:val="0"/>
        <w:keepLines w:val="0"/>
        <w:pageBreakBefore w:val="0"/>
        <w:widowControl w:val="0"/>
        <w:kinsoku/>
        <w:wordWrap/>
        <w:overflowPunct/>
        <w:topLinePunct w:val="0"/>
        <w:bidi w:val="0"/>
        <w:snapToGrid/>
        <w:spacing w:line="560" w:lineRule="exact"/>
        <w:jc w:val="left"/>
        <w:textAlignment w:val="auto"/>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考核方代表（签字）：</w:t>
      </w:r>
    </w:p>
    <w:p w14:paraId="775C0DD1">
      <w:pPr>
        <w:rPr>
          <w:rFonts w:hint="eastAsia" w:ascii="宋体" w:hAnsi="宋体" w:eastAsia="宋体" w:cs="宋体"/>
          <w:b w:val="0"/>
          <w:bCs w:val="0"/>
          <w:color w:val="auto"/>
          <w:kern w:val="2"/>
          <w:sz w:val="18"/>
          <w:szCs w:val="18"/>
          <w:highlight w:val="none"/>
          <w:vertAlign w:val="baseline"/>
          <w:lang w:val="en-US" w:eastAsia="zh-CN" w:bidi="ar-SA"/>
        </w:rPr>
      </w:pPr>
      <w:r>
        <w:rPr>
          <w:rFonts w:hint="eastAsia" w:ascii="宋体" w:hAnsi="宋体" w:eastAsia="宋体" w:cs="宋体"/>
          <w:b w:val="0"/>
          <w:bCs w:val="0"/>
          <w:color w:val="auto"/>
          <w:kern w:val="2"/>
          <w:sz w:val="18"/>
          <w:szCs w:val="18"/>
          <w:highlight w:val="none"/>
          <w:vertAlign w:val="baseline"/>
          <w:lang w:val="en-US" w:eastAsia="zh-CN" w:bidi="ar-SA"/>
        </w:rPr>
        <w:t>被考核方代表（签字）：</w:t>
      </w:r>
    </w:p>
    <w:p w14:paraId="34B67D03">
      <w:pPr>
        <w:rPr>
          <w:rFonts w:hint="eastAsia" w:ascii="宋体" w:hAnsi="宋体" w:eastAsia="宋体" w:cs="宋体"/>
          <w:b w:val="0"/>
          <w:bCs w:val="0"/>
          <w:color w:val="auto"/>
          <w:kern w:val="2"/>
          <w:sz w:val="18"/>
          <w:szCs w:val="18"/>
          <w:highlight w:val="none"/>
          <w:vertAlign w:val="baseline"/>
          <w:lang w:val="en-US" w:eastAsia="zh-CN" w:bidi="ar-SA"/>
        </w:rPr>
      </w:pPr>
    </w:p>
    <w:p w14:paraId="4A2BFF9D">
      <w:pPr>
        <w:pStyle w:val="2"/>
        <w:rPr>
          <w:rFonts w:hint="eastAsia"/>
          <w:color w:val="auto"/>
          <w:highlight w:val="none"/>
        </w:rPr>
      </w:pPr>
    </w:p>
    <w:sectPr>
      <w:pgSz w:w="11906" w:h="16838"/>
      <w:pgMar w:top="1440" w:right="1417" w:bottom="1440"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5D7B13D-24B1-4E24-8CDA-482716E6057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53139DD-50D0-41B6-838D-5B9D842EBFC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3" w:fontKey="{43164F6D-12DC-48F8-8770-89D12977E17A}"/>
  </w:font>
  <w:font w:name="FangSong_GB2312">
    <w:altName w:val="仿宋"/>
    <w:panose1 w:val="02010609030101010101"/>
    <w:charset w:val="86"/>
    <w:family w:val="roman"/>
    <w:pitch w:val="default"/>
    <w:sig w:usb0="00000000" w:usb1="00000000" w:usb2="00000000" w:usb3="00000000" w:csb0="00040000" w:csb1="00000000"/>
    <w:embedRegular r:id="rId4" w:fontKey="{E256BACE-2266-4D6E-88F0-6FFDC6B6EE5D}"/>
  </w:font>
  <w:font w:name="方正小标宋简体">
    <w:panose1 w:val="02000000000000000000"/>
    <w:charset w:val="86"/>
    <w:family w:val="script"/>
    <w:pitch w:val="default"/>
    <w:sig w:usb0="00000001" w:usb1="08000000" w:usb2="00000000" w:usb3="00000000" w:csb0="00040000" w:csb1="00000000"/>
    <w:embedRegular r:id="rId5" w:fontKey="{30B779AD-F10F-4741-82C2-8E51FE844A3C}"/>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embedRegular r:id="rId6" w:fontKey="{FCFDE8AC-5FE7-4EF3-BCBA-259901D5CE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84382">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ECA68E">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6ECA68E">
                    <w:pPr>
                      <w:spacing w:after="0" w:line="240" w:lineRule="auto"/>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69F93">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EFAAC3">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5EFAAC3">
                    <w:pPr>
                      <w:spacing w:after="0" w:line="240" w:lineRule="auto"/>
                      <w:jc w:val="center"/>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4A21">
    <w:pPr>
      <w:spacing w:after="0" w:line="240" w:lineRule="auto"/>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863BAD">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4863BAD">
                    <w:pPr>
                      <w:spacing w:after="0" w:line="240" w:lineRule="auto"/>
                      <w:jc w:val="center"/>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70A9">
    <w:pPr>
      <w:spacing w:line="169" w:lineRule="auto"/>
      <w:ind w:left="444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97072">
                          <w:pPr>
                            <w:pStyle w:val="11"/>
                            <w:rPr>
                              <w:rFonts w:hint="eastAsia" w:eastAsia="宋体"/>
                              <w:lang w:val="en-US" w:eastAsia="zh-CN"/>
                            </w:rPr>
                          </w:pPr>
                          <w:r>
                            <w:rPr>
                              <w:rFonts w:hint="eastAsia"/>
                              <w:sz w:val="21"/>
                              <w:szCs w:val="21"/>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697072">
                    <w:pPr>
                      <w:pStyle w:val="11"/>
                      <w:rPr>
                        <w:rFonts w:hint="eastAsia" w:eastAsia="宋体"/>
                        <w:lang w:val="en-US" w:eastAsia="zh-CN"/>
                      </w:rPr>
                    </w:pPr>
                    <w:r>
                      <w:rPr>
                        <w:rFonts w:hint="eastAsia"/>
                        <w:sz w:val="21"/>
                        <w:szCs w:val="21"/>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9D348C"/>
    <w:multiLevelType w:val="singleLevel"/>
    <w:tmpl w:val="1F9D348C"/>
    <w:lvl w:ilvl="0" w:tentative="0">
      <w:start w:val="1"/>
      <w:numFmt w:val="decimal"/>
      <w:pStyle w:val="7"/>
      <w:lvlText w:val="%1."/>
      <w:lvlJc w:val="left"/>
      <w:pPr>
        <w:tabs>
          <w:tab w:val="left" w:pos="780"/>
        </w:tabs>
        <w:ind w:left="780" w:hanging="360"/>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MTEzNWZjN2U1NDkwOWY1OWMyMjVjMzAwMzM0YjAifQ=="/>
  </w:docVars>
  <w:rsids>
    <w:rsidRoot w:val="1F532328"/>
    <w:rsid w:val="0018099E"/>
    <w:rsid w:val="00BB56DC"/>
    <w:rsid w:val="00E97F44"/>
    <w:rsid w:val="01437C9C"/>
    <w:rsid w:val="0168098E"/>
    <w:rsid w:val="023A241F"/>
    <w:rsid w:val="025C5667"/>
    <w:rsid w:val="026F607A"/>
    <w:rsid w:val="028A3742"/>
    <w:rsid w:val="028D5698"/>
    <w:rsid w:val="02901323"/>
    <w:rsid w:val="02A739E9"/>
    <w:rsid w:val="02E9145B"/>
    <w:rsid w:val="03443858"/>
    <w:rsid w:val="0365214C"/>
    <w:rsid w:val="037C3CB6"/>
    <w:rsid w:val="03C77E39"/>
    <w:rsid w:val="03CF75C5"/>
    <w:rsid w:val="04141C23"/>
    <w:rsid w:val="041D6793"/>
    <w:rsid w:val="044E4C36"/>
    <w:rsid w:val="054C0AC4"/>
    <w:rsid w:val="057A11EA"/>
    <w:rsid w:val="059A5C2E"/>
    <w:rsid w:val="05F43A65"/>
    <w:rsid w:val="0616597F"/>
    <w:rsid w:val="061A0889"/>
    <w:rsid w:val="067D77AC"/>
    <w:rsid w:val="069B3A09"/>
    <w:rsid w:val="07283101"/>
    <w:rsid w:val="07740940"/>
    <w:rsid w:val="081E028C"/>
    <w:rsid w:val="08324B8B"/>
    <w:rsid w:val="08564759"/>
    <w:rsid w:val="086A6579"/>
    <w:rsid w:val="0873526C"/>
    <w:rsid w:val="089F16D4"/>
    <w:rsid w:val="08AA23AF"/>
    <w:rsid w:val="08C2594B"/>
    <w:rsid w:val="08C96150"/>
    <w:rsid w:val="09064BCC"/>
    <w:rsid w:val="095962AF"/>
    <w:rsid w:val="09B07992"/>
    <w:rsid w:val="09E14548"/>
    <w:rsid w:val="0A4C69F3"/>
    <w:rsid w:val="0A664304"/>
    <w:rsid w:val="0BB57D82"/>
    <w:rsid w:val="0BBF7555"/>
    <w:rsid w:val="0C0D783A"/>
    <w:rsid w:val="0C45142A"/>
    <w:rsid w:val="0C7D4CCB"/>
    <w:rsid w:val="0D246BD4"/>
    <w:rsid w:val="0DD00B0A"/>
    <w:rsid w:val="0DE35258"/>
    <w:rsid w:val="0E1F1149"/>
    <w:rsid w:val="0E2D5552"/>
    <w:rsid w:val="0E9E6512"/>
    <w:rsid w:val="0EB724DE"/>
    <w:rsid w:val="0EE7337D"/>
    <w:rsid w:val="0F5C13BE"/>
    <w:rsid w:val="0F6E6F8A"/>
    <w:rsid w:val="0FB06A66"/>
    <w:rsid w:val="0FDA6776"/>
    <w:rsid w:val="0FFE195E"/>
    <w:rsid w:val="100A02F0"/>
    <w:rsid w:val="1040234E"/>
    <w:rsid w:val="10606175"/>
    <w:rsid w:val="107E4F25"/>
    <w:rsid w:val="10853E2D"/>
    <w:rsid w:val="11243FFF"/>
    <w:rsid w:val="1197695F"/>
    <w:rsid w:val="11991213"/>
    <w:rsid w:val="11EB4161"/>
    <w:rsid w:val="12045226"/>
    <w:rsid w:val="12502219"/>
    <w:rsid w:val="13343592"/>
    <w:rsid w:val="13645777"/>
    <w:rsid w:val="13D55C52"/>
    <w:rsid w:val="13EC5F71"/>
    <w:rsid w:val="13F60B9E"/>
    <w:rsid w:val="13F87E09"/>
    <w:rsid w:val="148D32B1"/>
    <w:rsid w:val="150E204E"/>
    <w:rsid w:val="15420686"/>
    <w:rsid w:val="15783F61"/>
    <w:rsid w:val="15C2342E"/>
    <w:rsid w:val="16334A9A"/>
    <w:rsid w:val="16963E20"/>
    <w:rsid w:val="177D7A23"/>
    <w:rsid w:val="184E713F"/>
    <w:rsid w:val="187C6219"/>
    <w:rsid w:val="189A3424"/>
    <w:rsid w:val="18D2614B"/>
    <w:rsid w:val="18EE62E8"/>
    <w:rsid w:val="190D755C"/>
    <w:rsid w:val="198033E4"/>
    <w:rsid w:val="19811766"/>
    <w:rsid w:val="19D8008E"/>
    <w:rsid w:val="1A1A235E"/>
    <w:rsid w:val="1AB23A71"/>
    <w:rsid w:val="1B2865CE"/>
    <w:rsid w:val="1B317922"/>
    <w:rsid w:val="1B4B2F13"/>
    <w:rsid w:val="1B716E19"/>
    <w:rsid w:val="1B97254D"/>
    <w:rsid w:val="1BA64C58"/>
    <w:rsid w:val="1BA775D9"/>
    <w:rsid w:val="1BA8168E"/>
    <w:rsid w:val="1BBD2F52"/>
    <w:rsid w:val="1BD25A4D"/>
    <w:rsid w:val="1C0D3B4C"/>
    <w:rsid w:val="1C735482"/>
    <w:rsid w:val="1CA67605"/>
    <w:rsid w:val="1CC25AC1"/>
    <w:rsid w:val="1D1722B1"/>
    <w:rsid w:val="1D1E53EE"/>
    <w:rsid w:val="1D5523BA"/>
    <w:rsid w:val="1D9C4564"/>
    <w:rsid w:val="1D9E208B"/>
    <w:rsid w:val="1DA653E3"/>
    <w:rsid w:val="1E3D1FA5"/>
    <w:rsid w:val="1E6A4318"/>
    <w:rsid w:val="1E733517"/>
    <w:rsid w:val="1E8B1295"/>
    <w:rsid w:val="1F3C5C4A"/>
    <w:rsid w:val="1F532328"/>
    <w:rsid w:val="1FC529A2"/>
    <w:rsid w:val="1FE55012"/>
    <w:rsid w:val="1FFC12EA"/>
    <w:rsid w:val="20234AC9"/>
    <w:rsid w:val="204372D7"/>
    <w:rsid w:val="20920166"/>
    <w:rsid w:val="21582E98"/>
    <w:rsid w:val="217224C0"/>
    <w:rsid w:val="217C0935"/>
    <w:rsid w:val="21B93937"/>
    <w:rsid w:val="22001928"/>
    <w:rsid w:val="227C2DBC"/>
    <w:rsid w:val="22C27D22"/>
    <w:rsid w:val="23183EF8"/>
    <w:rsid w:val="232A2389"/>
    <w:rsid w:val="23367F2F"/>
    <w:rsid w:val="235F55D1"/>
    <w:rsid w:val="23671D53"/>
    <w:rsid w:val="236F6BEA"/>
    <w:rsid w:val="2393640A"/>
    <w:rsid w:val="24547E1C"/>
    <w:rsid w:val="250F1AC0"/>
    <w:rsid w:val="253A7CD4"/>
    <w:rsid w:val="254B5296"/>
    <w:rsid w:val="25744EEE"/>
    <w:rsid w:val="257C5ABF"/>
    <w:rsid w:val="267939E9"/>
    <w:rsid w:val="26E6071B"/>
    <w:rsid w:val="26FE46F6"/>
    <w:rsid w:val="271635D9"/>
    <w:rsid w:val="276B33D5"/>
    <w:rsid w:val="27EA5242"/>
    <w:rsid w:val="28245882"/>
    <w:rsid w:val="283755B5"/>
    <w:rsid w:val="28EA7C93"/>
    <w:rsid w:val="29693E94"/>
    <w:rsid w:val="29916F47"/>
    <w:rsid w:val="29E066A4"/>
    <w:rsid w:val="2A012D96"/>
    <w:rsid w:val="2ACA5218"/>
    <w:rsid w:val="2AD92C0B"/>
    <w:rsid w:val="2B02634F"/>
    <w:rsid w:val="2B073965"/>
    <w:rsid w:val="2B096C05"/>
    <w:rsid w:val="2B2160A9"/>
    <w:rsid w:val="2B5F6D63"/>
    <w:rsid w:val="2B6B4498"/>
    <w:rsid w:val="2BB535F4"/>
    <w:rsid w:val="2C0E56CF"/>
    <w:rsid w:val="2C134F28"/>
    <w:rsid w:val="2DCC67A0"/>
    <w:rsid w:val="2DDD3C47"/>
    <w:rsid w:val="2E960B5C"/>
    <w:rsid w:val="2EC76F67"/>
    <w:rsid w:val="2F081A5A"/>
    <w:rsid w:val="2F2D0695"/>
    <w:rsid w:val="2FC46791"/>
    <w:rsid w:val="2FE86D2A"/>
    <w:rsid w:val="2FF27FE5"/>
    <w:rsid w:val="30CC1ABC"/>
    <w:rsid w:val="30F7043E"/>
    <w:rsid w:val="31592A40"/>
    <w:rsid w:val="316E6CE8"/>
    <w:rsid w:val="320973E2"/>
    <w:rsid w:val="324D417C"/>
    <w:rsid w:val="342033A2"/>
    <w:rsid w:val="343541A1"/>
    <w:rsid w:val="343D21A6"/>
    <w:rsid w:val="34BE6306"/>
    <w:rsid w:val="353A3563"/>
    <w:rsid w:val="3567045E"/>
    <w:rsid w:val="358154ED"/>
    <w:rsid w:val="359A7184"/>
    <w:rsid w:val="35DB6CDC"/>
    <w:rsid w:val="35E52AF5"/>
    <w:rsid w:val="35EB3E83"/>
    <w:rsid w:val="36464E91"/>
    <w:rsid w:val="364B02AA"/>
    <w:rsid w:val="36533F02"/>
    <w:rsid w:val="36EC7A7E"/>
    <w:rsid w:val="375B7008"/>
    <w:rsid w:val="376D0FF4"/>
    <w:rsid w:val="37F039D3"/>
    <w:rsid w:val="39A90E92"/>
    <w:rsid w:val="39C54928"/>
    <w:rsid w:val="39FC665F"/>
    <w:rsid w:val="3A731158"/>
    <w:rsid w:val="3ABB2387"/>
    <w:rsid w:val="3B1672AC"/>
    <w:rsid w:val="3B22232D"/>
    <w:rsid w:val="3B3910EA"/>
    <w:rsid w:val="3C460065"/>
    <w:rsid w:val="3C8B21EA"/>
    <w:rsid w:val="3D0221DE"/>
    <w:rsid w:val="3D3E2AEA"/>
    <w:rsid w:val="3D8E0E1C"/>
    <w:rsid w:val="3E8A248B"/>
    <w:rsid w:val="3EF72DDD"/>
    <w:rsid w:val="3FBC4F17"/>
    <w:rsid w:val="3FC21CF8"/>
    <w:rsid w:val="3FC763E7"/>
    <w:rsid w:val="402E6E46"/>
    <w:rsid w:val="40446696"/>
    <w:rsid w:val="40774A6A"/>
    <w:rsid w:val="40DB1AE6"/>
    <w:rsid w:val="410F2CCB"/>
    <w:rsid w:val="41167912"/>
    <w:rsid w:val="41362456"/>
    <w:rsid w:val="41EA4FEF"/>
    <w:rsid w:val="42593669"/>
    <w:rsid w:val="42A17DA3"/>
    <w:rsid w:val="42B9333F"/>
    <w:rsid w:val="42DB0A37"/>
    <w:rsid w:val="42ED2FE9"/>
    <w:rsid w:val="435C6F85"/>
    <w:rsid w:val="438356FB"/>
    <w:rsid w:val="43894EAB"/>
    <w:rsid w:val="438D70F0"/>
    <w:rsid w:val="4394121C"/>
    <w:rsid w:val="43F15C0E"/>
    <w:rsid w:val="443A10F9"/>
    <w:rsid w:val="443A5C31"/>
    <w:rsid w:val="446E1F07"/>
    <w:rsid w:val="44706678"/>
    <w:rsid w:val="44C304A5"/>
    <w:rsid w:val="44F763A1"/>
    <w:rsid w:val="45414D79"/>
    <w:rsid w:val="45BC281D"/>
    <w:rsid w:val="46E6317A"/>
    <w:rsid w:val="47384653"/>
    <w:rsid w:val="480F236C"/>
    <w:rsid w:val="491F48AE"/>
    <w:rsid w:val="496F0BFB"/>
    <w:rsid w:val="4A364378"/>
    <w:rsid w:val="4A742241"/>
    <w:rsid w:val="4AA11545"/>
    <w:rsid w:val="4AAA17BF"/>
    <w:rsid w:val="4ADB7BCB"/>
    <w:rsid w:val="4B84756E"/>
    <w:rsid w:val="4C442D3C"/>
    <w:rsid w:val="4C636A09"/>
    <w:rsid w:val="4C7C718B"/>
    <w:rsid w:val="4CA34957"/>
    <w:rsid w:val="4CB24DE4"/>
    <w:rsid w:val="4CC528E0"/>
    <w:rsid w:val="4CF67957"/>
    <w:rsid w:val="4D075F85"/>
    <w:rsid w:val="4D9547ED"/>
    <w:rsid w:val="4DC10F6A"/>
    <w:rsid w:val="4DFF641F"/>
    <w:rsid w:val="4E6A1991"/>
    <w:rsid w:val="4E915170"/>
    <w:rsid w:val="4EB1136E"/>
    <w:rsid w:val="4F8A7C69"/>
    <w:rsid w:val="4FD3359A"/>
    <w:rsid w:val="50131BB5"/>
    <w:rsid w:val="505C4CBF"/>
    <w:rsid w:val="505D5440"/>
    <w:rsid w:val="50642410"/>
    <w:rsid w:val="50DB0924"/>
    <w:rsid w:val="51D04201"/>
    <w:rsid w:val="520914C1"/>
    <w:rsid w:val="528B1ED6"/>
    <w:rsid w:val="53422EDD"/>
    <w:rsid w:val="53771717"/>
    <w:rsid w:val="539024C6"/>
    <w:rsid w:val="53BD6A07"/>
    <w:rsid w:val="53DF697E"/>
    <w:rsid w:val="53F60DA9"/>
    <w:rsid w:val="545C3B2A"/>
    <w:rsid w:val="54822AF9"/>
    <w:rsid w:val="54844A61"/>
    <w:rsid w:val="54876745"/>
    <w:rsid w:val="54A63070"/>
    <w:rsid w:val="55425416"/>
    <w:rsid w:val="556F5103"/>
    <w:rsid w:val="558B15C3"/>
    <w:rsid w:val="55A27C63"/>
    <w:rsid w:val="55DB13C7"/>
    <w:rsid w:val="56075D18"/>
    <w:rsid w:val="581862F5"/>
    <w:rsid w:val="581F37ED"/>
    <w:rsid w:val="587D4566"/>
    <w:rsid w:val="58836D63"/>
    <w:rsid w:val="58EB36CF"/>
    <w:rsid w:val="593B4656"/>
    <w:rsid w:val="59A85A64"/>
    <w:rsid w:val="59D668DE"/>
    <w:rsid w:val="59E37255"/>
    <w:rsid w:val="59F960C7"/>
    <w:rsid w:val="59FD5DAF"/>
    <w:rsid w:val="5A257EA1"/>
    <w:rsid w:val="5A296BA4"/>
    <w:rsid w:val="5A5E586D"/>
    <w:rsid w:val="5A75462C"/>
    <w:rsid w:val="5A9F0C15"/>
    <w:rsid w:val="5AA02A87"/>
    <w:rsid w:val="5B476268"/>
    <w:rsid w:val="5B9067AF"/>
    <w:rsid w:val="5B93074A"/>
    <w:rsid w:val="5C1D6295"/>
    <w:rsid w:val="5C367357"/>
    <w:rsid w:val="5C7C3FC4"/>
    <w:rsid w:val="5C990449"/>
    <w:rsid w:val="5CA65C42"/>
    <w:rsid w:val="5D080A3C"/>
    <w:rsid w:val="5D491CD1"/>
    <w:rsid w:val="5D812584"/>
    <w:rsid w:val="5DAD57FA"/>
    <w:rsid w:val="5DD37888"/>
    <w:rsid w:val="5DF105F5"/>
    <w:rsid w:val="5DF7654D"/>
    <w:rsid w:val="5E374FFA"/>
    <w:rsid w:val="5F1119B5"/>
    <w:rsid w:val="5F8345FD"/>
    <w:rsid w:val="5F8F7324"/>
    <w:rsid w:val="5F954394"/>
    <w:rsid w:val="60362D2C"/>
    <w:rsid w:val="60433DF0"/>
    <w:rsid w:val="605204D7"/>
    <w:rsid w:val="61450ABA"/>
    <w:rsid w:val="6155662A"/>
    <w:rsid w:val="6166248C"/>
    <w:rsid w:val="618A277C"/>
    <w:rsid w:val="61CD6067"/>
    <w:rsid w:val="620B18AC"/>
    <w:rsid w:val="6236151B"/>
    <w:rsid w:val="624F6ACD"/>
    <w:rsid w:val="628A642F"/>
    <w:rsid w:val="633260A7"/>
    <w:rsid w:val="63666773"/>
    <w:rsid w:val="63AD0236"/>
    <w:rsid w:val="63B53257"/>
    <w:rsid w:val="64191A38"/>
    <w:rsid w:val="64234664"/>
    <w:rsid w:val="64314924"/>
    <w:rsid w:val="64333820"/>
    <w:rsid w:val="644876A9"/>
    <w:rsid w:val="64D111CE"/>
    <w:rsid w:val="652660BF"/>
    <w:rsid w:val="657054C6"/>
    <w:rsid w:val="65A532B3"/>
    <w:rsid w:val="662E34E2"/>
    <w:rsid w:val="666D15F4"/>
    <w:rsid w:val="66A870A3"/>
    <w:rsid w:val="66D9725C"/>
    <w:rsid w:val="67102900"/>
    <w:rsid w:val="678371C8"/>
    <w:rsid w:val="678A0557"/>
    <w:rsid w:val="67B72CBC"/>
    <w:rsid w:val="67E01FDE"/>
    <w:rsid w:val="6816132D"/>
    <w:rsid w:val="68460921"/>
    <w:rsid w:val="68865D4D"/>
    <w:rsid w:val="69092CBD"/>
    <w:rsid w:val="69307669"/>
    <w:rsid w:val="698915CE"/>
    <w:rsid w:val="69C80273"/>
    <w:rsid w:val="6B4C44A1"/>
    <w:rsid w:val="6B6A4927"/>
    <w:rsid w:val="6B737C7F"/>
    <w:rsid w:val="6BB44FCE"/>
    <w:rsid w:val="6C953C26"/>
    <w:rsid w:val="6CFF5543"/>
    <w:rsid w:val="6D1C60F5"/>
    <w:rsid w:val="6D6616EC"/>
    <w:rsid w:val="6D664C9A"/>
    <w:rsid w:val="6D6655C2"/>
    <w:rsid w:val="6D67780D"/>
    <w:rsid w:val="6D8812C0"/>
    <w:rsid w:val="6DB17E22"/>
    <w:rsid w:val="6E106E7B"/>
    <w:rsid w:val="6E1B015A"/>
    <w:rsid w:val="6E2039C3"/>
    <w:rsid w:val="6E3557E7"/>
    <w:rsid w:val="6E462541"/>
    <w:rsid w:val="6E46471F"/>
    <w:rsid w:val="6E4E22DE"/>
    <w:rsid w:val="6E5B49FB"/>
    <w:rsid w:val="6F8D6E36"/>
    <w:rsid w:val="6FB84429"/>
    <w:rsid w:val="6FF3138F"/>
    <w:rsid w:val="6FFE6E86"/>
    <w:rsid w:val="705C33D8"/>
    <w:rsid w:val="706A4EA7"/>
    <w:rsid w:val="708B39C8"/>
    <w:rsid w:val="70AF2885"/>
    <w:rsid w:val="70E91461"/>
    <w:rsid w:val="711506CD"/>
    <w:rsid w:val="71775B85"/>
    <w:rsid w:val="719A1ED8"/>
    <w:rsid w:val="71D30F26"/>
    <w:rsid w:val="720A62E0"/>
    <w:rsid w:val="720B478A"/>
    <w:rsid w:val="72244EA1"/>
    <w:rsid w:val="722D66AE"/>
    <w:rsid w:val="72334B5B"/>
    <w:rsid w:val="724F4877"/>
    <w:rsid w:val="72865006"/>
    <w:rsid w:val="72AC7F1B"/>
    <w:rsid w:val="73102258"/>
    <w:rsid w:val="733D06EC"/>
    <w:rsid w:val="73880040"/>
    <w:rsid w:val="73DD4830"/>
    <w:rsid w:val="740E252B"/>
    <w:rsid w:val="74A010F5"/>
    <w:rsid w:val="74A9347B"/>
    <w:rsid w:val="74D6127F"/>
    <w:rsid w:val="74FC6453"/>
    <w:rsid w:val="757F36C5"/>
    <w:rsid w:val="75ED4AD2"/>
    <w:rsid w:val="76285972"/>
    <w:rsid w:val="76360272"/>
    <w:rsid w:val="77784870"/>
    <w:rsid w:val="784E5D7C"/>
    <w:rsid w:val="7872306D"/>
    <w:rsid w:val="78BB0EB8"/>
    <w:rsid w:val="7903410B"/>
    <w:rsid w:val="79061118"/>
    <w:rsid w:val="79AD6A6C"/>
    <w:rsid w:val="79DA6E2C"/>
    <w:rsid w:val="7A0F500C"/>
    <w:rsid w:val="7A684CCF"/>
    <w:rsid w:val="7A727144"/>
    <w:rsid w:val="7AB864FF"/>
    <w:rsid w:val="7B114DBF"/>
    <w:rsid w:val="7B7A6E08"/>
    <w:rsid w:val="7B7B66DC"/>
    <w:rsid w:val="7C165D70"/>
    <w:rsid w:val="7C727ADF"/>
    <w:rsid w:val="7C8F5CB7"/>
    <w:rsid w:val="7DBB54B6"/>
    <w:rsid w:val="7DCE51E9"/>
    <w:rsid w:val="7E156974"/>
    <w:rsid w:val="7E5B4754"/>
    <w:rsid w:val="7E8835EA"/>
    <w:rsid w:val="7F1234F5"/>
    <w:rsid w:val="7F2B7E15"/>
    <w:rsid w:val="7FC248DA"/>
    <w:rsid w:val="7FF6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7"/>
    <w:next w:val="8"/>
    <w:autoRedefine/>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b/>
      <w:szCs w:val="24"/>
    </w:rPr>
  </w:style>
  <w:style w:type="paragraph" w:styleId="7">
    <w:name w:val="List Number 2"/>
    <w:basedOn w:val="1"/>
    <w:autoRedefine/>
    <w:qFormat/>
    <w:uiPriority w:val="0"/>
    <w:pPr>
      <w:numPr>
        <w:ilvl w:val="0"/>
        <w:numId w:val="1"/>
      </w:numPr>
    </w:p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text"/>
    <w:basedOn w:val="1"/>
    <w:autoRedefine/>
    <w:qFormat/>
    <w:uiPriority w:val="0"/>
    <w:pPr>
      <w:jc w:val="left"/>
    </w:pPr>
  </w:style>
  <w:style w:type="paragraph" w:styleId="10">
    <w:name w:val="Plain Text"/>
    <w:basedOn w:val="1"/>
    <w:next w:val="1"/>
    <w:autoRedefine/>
    <w:unhideWhenUsed/>
    <w:qFormat/>
    <w:uiPriority w:val="99"/>
    <w:rPr>
      <w:rFonts w:ascii="宋体" w:hAnsi="Courier New" w:eastAsia="宋体"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style>
  <w:style w:type="paragraph" w:styleId="14">
    <w:name w:val="toc 2"/>
    <w:basedOn w:val="1"/>
    <w:next w:val="1"/>
    <w:autoRedefine/>
    <w:unhideWhenUsed/>
    <w:qFormat/>
    <w:uiPriority w:val="39"/>
    <w:pPr>
      <w:ind w:left="420" w:leftChars="200"/>
    </w:pPr>
  </w:style>
  <w:style w:type="table" w:styleId="16">
    <w:name w:val="Table Grid"/>
    <w:basedOn w:val="15"/>
    <w:autoRedefine/>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autoRedefine/>
    <w:qFormat/>
    <w:uiPriority w:val="99"/>
  </w:style>
  <w:style w:type="character" w:styleId="19">
    <w:name w:val="Emphasis"/>
    <w:basedOn w:val="17"/>
    <w:autoRedefine/>
    <w:qFormat/>
    <w:uiPriority w:val="0"/>
    <w:rPr>
      <w:i/>
    </w:rPr>
  </w:style>
  <w:style w:type="character" w:styleId="20">
    <w:name w:val="Hyperlink"/>
    <w:autoRedefine/>
    <w:unhideWhenUsed/>
    <w:qFormat/>
    <w:uiPriority w:val="99"/>
    <w:rPr>
      <w:color w:val="0000FF"/>
      <w:u w:val="single"/>
    </w:rPr>
  </w:style>
  <w:style w:type="paragraph" w:customStyle="1" w:styleId="21">
    <w:name w:val="标题 5（有编号）（绿盟科技）"/>
    <w:basedOn w:val="1"/>
    <w:next w:val="22"/>
    <w:autoRedefine/>
    <w:qFormat/>
    <w:uiPriority w:val="0"/>
    <w:pPr>
      <w:keepNext/>
      <w:keepLines/>
      <w:numPr>
        <w:ilvl w:val="4"/>
        <w:numId w:val="2"/>
      </w:numPr>
      <w:spacing w:before="280" w:after="156" w:line="377" w:lineRule="auto"/>
      <w:jc w:val="left"/>
      <w:outlineLvl w:val="4"/>
    </w:pPr>
    <w:rPr>
      <w:rFonts w:ascii="Arial" w:hAnsi="Arial" w:eastAsia="黑体" w:cs="黑体"/>
      <w:b/>
      <w:kern w:val="0"/>
      <w:sz w:val="24"/>
      <w:szCs w:val="28"/>
    </w:rPr>
  </w:style>
  <w:style w:type="paragraph" w:customStyle="1" w:styleId="2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24">
    <w:name w:val="null3"/>
    <w:autoRedefine/>
    <w:qFormat/>
    <w:uiPriority w:val="0"/>
    <w:rPr>
      <w:rFonts w:hint="eastAsia" w:ascii="Calibri" w:hAnsi="Calibri" w:eastAsia="宋体" w:cs="Times New Roman"/>
      <w:lang w:val="en-US" w:eastAsia="zh-CN" w:bidi="ar-SA"/>
    </w:rPr>
  </w:style>
  <w:style w:type="paragraph" w:customStyle="1" w:styleId="25">
    <w:name w:val="样式1"/>
    <w:basedOn w:val="1"/>
    <w:autoRedefine/>
    <w:qFormat/>
    <w:uiPriority w:val="0"/>
    <w:pPr>
      <w:jc w:val="center"/>
    </w:pPr>
    <w:rPr>
      <w:rFonts w:eastAsia="方正大标宋简体"/>
      <w:sz w:val="52"/>
    </w:rPr>
  </w:style>
  <w:style w:type="paragraph" w:customStyle="1" w:styleId="26">
    <w:name w:val="Normal Indent1"/>
    <w:autoRedefine/>
    <w:qFormat/>
    <w:uiPriority w:val="0"/>
    <w:pPr>
      <w:spacing w:afterLines="50" w:line="360" w:lineRule="auto"/>
      <w:ind w:firstLine="420" w:firstLineChars="200"/>
    </w:pPr>
    <w:rPr>
      <w:rFonts w:ascii="Times New Roman" w:hAnsi="Times New Roman" w:eastAsia="宋体" w:cs="Times New Roman"/>
      <w:lang w:val="en-US" w:eastAsia="zh-CN" w:bidi="ar-SA"/>
    </w:rPr>
  </w:style>
  <w:style w:type="paragraph" w:customStyle="1" w:styleId="27">
    <w:name w:val="Body text|1"/>
    <w:basedOn w:val="1"/>
    <w:autoRedefine/>
    <w:qFormat/>
    <w:uiPriority w:val="0"/>
    <w:pPr>
      <w:widowControl w:val="0"/>
      <w:shd w:val="clear" w:color="auto" w:fill="auto"/>
      <w:spacing w:after="140" w:line="451" w:lineRule="auto"/>
    </w:pPr>
    <w:rPr>
      <w:rFonts w:ascii="宋体" w:hAnsi="宋体" w:eastAsia="宋体" w:cs="宋体"/>
      <w:sz w:val="17"/>
      <w:szCs w:val="17"/>
      <w:u w:val="none"/>
      <w:shd w:val="clear" w:color="auto" w:fill="auto"/>
      <w:lang w:val="zh-TW" w:eastAsia="zh-TW" w:bidi="zh-TW"/>
    </w:rPr>
  </w:style>
  <w:style w:type="character" w:customStyle="1" w:styleId="28">
    <w:name w:val="标题 1 Char"/>
    <w:link w:val="3"/>
    <w:autoRedefine/>
    <w:qFormat/>
    <w:uiPriority w:val="0"/>
    <w:rPr>
      <w:rFonts w:hint="eastAsia" w:ascii="宋体" w:hAnsi="宋体" w:eastAsia="宋体" w:cs="宋体"/>
      <w:b/>
      <w:bCs/>
      <w:kern w:val="44"/>
      <w:sz w:val="48"/>
      <w:szCs w:val="48"/>
      <w:lang w:val="en-US" w:eastAsia="zh-CN" w:bidi="ar"/>
    </w:rPr>
  </w:style>
  <w:style w:type="paragraph" w:customStyle="1" w:styleId="29">
    <w:name w:val="Table Text"/>
    <w:basedOn w:val="1"/>
    <w:autoRedefine/>
    <w:semiHidden/>
    <w:qFormat/>
    <w:uiPriority w:val="0"/>
    <w:rPr>
      <w:rFonts w:ascii="宋体" w:hAnsi="宋体" w:eastAsia="宋体" w:cs="宋体"/>
      <w:sz w:val="20"/>
      <w:szCs w:val="20"/>
      <w:lang w:val="en-US" w:eastAsia="en-US" w:bidi="ar-SA"/>
    </w:rPr>
  </w:style>
  <w:style w:type="table" w:customStyle="1" w:styleId="30">
    <w:name w:val="Table Normal"/>
    <w:autoRedefine/>
    <w:unhideWhenUsed/>
    <w:qFormat/>
    <w:uiPriority w:val="0"/>
    <w:tblPr>
      <w:tblCellMar>
        <w:top w:w="0" w:type="dxa"/>
        <w:left w:w="0" w:type="dxa"/>
        <w:bottom w:w="0" w:type="dxa"/>
        <w:right w:w="0" w:type="dxa"/>
      </w:tblCellMar>
    </w:tblPr>
  </w:style>
  <w:style w:type="character" w:customStyle="1" w:styleId="31">
    <w:name w:val="font21"/>
    <w:basedOn w:val="17"/>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37811</Words>
  <Characters>40367</Characters>
  <Lines>0</Lines>
  <Paragraphs>0</Paragraphs>
  <TotalTime>36</TotalTime>
  <ScaleCrop>false</ScaleCrop>
  <LinksUpToDate>false</LinksUpToDate>
  <CharactersWithSpaces>42132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2024-03-29T08:32:00Z</dcterms:created>
  <dc:creator>李柳婵</dc:creator>
  <cp:lastModifiedBy>代理</cp:lastModifiedBy>
  <dcterms:modified xsi:type="dcterms:W3CDTF">2024-09-23T02:46:43Z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DBBB2A54197B4F2DA95D65BF603A05B6_13</vt:lpwstr>
  </property>
</Properties>
</file>